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9770" w14:textId="77777777" w:rsidR="08F3E5A1" w:rsidRPr="00246AC4" w:rsidRDefault="0081324D" w:rsidP="00757755">
      <w:pPr>
        <w:pStyle w:val="Heading1"/>
        <w:spacing w:line="276" w:lineRule="auto"/>
        <w:rPr>
          <w:rFonts w:ascii="Franklin Gothic Demi" w:hAnsi="Franklin Gothic Demi"/>
          <w:color w:val="auto"/>
          <w:lang w:val="da-DK"/>
        </w:rPr>
      </w:pPr>
      <w:r w:rsidRPr="0081324D">
        <w:rPr>
          <w:rFonts w:ascii="Franklin Gothic Demi" w:hAnsi="Franklin Gothic Demi"/>
          <w:color w:val="auto"/>
          <w:lang w:val="da-DK"/>
        </w:rPr>
        <w:t xml:space="preserve">Bedre brug af indberettede data om </w:t>
      </w:r>
      <w:r w:rsidRPr="0081324D">
        <w:rPr>
          <w:rFonts w:ascii="Franklin Gothic Demi" w:hAnsi="Franklin Gothic Demi"/>
          <w:color w:val="5AAAA7" w:themeColor="accent5" w:themeShade="BF"/>
          <w:lang w:val="da-DK"/>
        </w:rPr>
        <w:t>sikkerhedshændelser</w:t>
      </w:r>
    </w:p>
    <w:p w14:paraId="668D6EFD" w14:textId="77777777" w:rsidR="08F3E5A1" w:rsidRPr="00246AC4" w:rsidRDefault="00246AC4" w:rsidP="00757755">
      <w:pPr>
        <w:spacing w:line="276" w:lineRule="auto"/>
        <w:rPr>
          <w:lang w:val="da-DK"/>
        </w:rPr>
      </w:pPr>
      <w:r>
        <w:rPr>
          <w:noProof/>
        </w:rPr>
        <mc:AlternateContent>
          <mc:Choice Requires="wps">
            <w:drawing>
              <wp:anchor distT="0" distB="0" distL="114300" distR="114300" simplePos="0" relativeHeight="251664384" behindDoc="0" locked="0" layoutInCell="1" allowOverlap="1" wp14:anchorId="20000312" wp14:editId="3B829E49">
                <wp:simplePos x="0" y="0"/>
                <wp:positionH relativeFrom="margin">
                  <wp:posOffset>-387350</wp:posOffset>
                </wp:positionH>
                <wp:positionV relativeFrom="paragraph">
                  <wp:posOffset>1270</wp:posOffset>
                </wp:positionV>
                <wp:extent cx="3264195" cy="0"/>
                <wp:effectExtent l="0" t="0" r="0" b="0"/>
                <wp:wrapNone/>
                <wp:docPr id="10" name="Lige forbindelse 10"/>
                <wp:cNvGraphicFramePr/>
                <a:graphic xmlns:a="http://schemas.openxmlformats.org/drawingml/2006/main">
                  <a:graphicData uri="http://schemas.microsoft.com/office/word/2010/wordprocessingShape">
                    <wps:wsp>
                      <wps:cNvCnPr/>
                      <wps:spPr>
                        <a:xfrm>
                          <a:off x="0" y="0"/>
                          <a:ext cx="326419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Lige forbindelse 10"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o:spid="_x0000_s1026" strokeweight=".5pt" from="-30.5pt,.1pt" to="226.5pt,.1pt" w14:anchorId="260F7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Yz0AEAAAQEAAAOAAAAZHJzL2Uyb0RvYy54bWysU9uO0zAQfUfiHyy/0yQFVhA13YddLS8r&#10;qLh8gOuME0u+aWya9O8ZO212BUgIRB4cjz3nzJxje3c7W8NOgFF71/FmU3MGTvpeu6Hj374+vHrH&#10;WUzC9cJ4Bx0/Q+S3+5cvdlNoYetHb3pARiQutlPo+JhSaKsqyhGsiBsfwNGm8mhFohCHqkcxEbs1&#10;1baub6rJYx/QS4iRVu+XTb4v/EqBTJ+UipCY6Tj1lsqIZTzmsdrvRDugCKOWlzbEP3RhhXZUdKW6&#10;F0mw76h/obJaoo9epY30tvJKaQlFA6lp6p/UfBlFgKKFzIlhtSn+P1r58XRApns6O7LHCUtn9KgH&#10;YGT5UbseTARGW+TTFGJL6XfugJcohgNm0bNCm/8kh83F2/PqLcyJSVp8vb1507x/y5m87lVPwIAx&#10;fQBvWZ503GiXZYtWnB5jomKUek3Jy8blMXqj+wdtTAlwON4ZZCeRD7p8uWcCPkujKEOrrGTpvczS&#10;2cBC+xkUeUHdNqV8uYWw0gopwaXmwmscZWeYohZWYP1n4CU/Q6Hc0L8Br4hS2bu0gq12Hn9XPc3X&#10;ltWSf3Vg0Z0tOPr+XE61WENXrTh3eRb5Lj+PC/zp8e5/AAAA//8DAFBLAwQUAAYACAAAACEA9HHO&#10;WtoAAAAFAQAADwAAAGRycy9kb3ducmV2LnhtbEyPwU7DMBBE70j8g7VI3FqnBdoqjVMhJA5ISEDg&#10;0KMbb5OAvQ62m4S/Z3uC42hWb94Wu8lZMWCInScFi3kGAqn2pqNGwcf742wDIiZNRltPqOAHI+zK&#10;y4tC58aP9IZDlRrBEIq5VtCm1OdSxrpFp+Pc90jcHX1wOnEMjTRBjwx3Vi6zbCWd7ogXWt3jQ4v1&#10;V3VyTKH193GyYf/68txuqvETn4Y1KnV9Nd1vQSSc0t8xnPVZHUp2OvgTmSisgtlqwb8kBUsQXN/e&#10;3XA8nKMsC/nfvvwFAAD//wMAUEsBAi0AFAAGAAgAAAAhALaDOJL+AAAA4QEAABMAAAAAAAAAAAAA&#10;AAAAAAAAAFtDb250ZW50X1R5cGVzXS54bWxQSwECLQAUAAYACAAAACEAOP0h/9YAAACUAQAACwAA&#10;AAAAAAAAAAAAAAAvAQAAX3JlbHMvLnJlbHNQSwECLQAUAAYACAAAACEAeCpGM9ABAAAEBAAADgAA&#10;AAAAAAAAAAAAAAAuAgAAZHJzL2Uyb0RvYy54bWxQSwECLQAUAAYACAAAACEA9HHOWtoAAAAFAQAA&#10;DwAAAAAAAAAAAAAAAAAqBAAAZHJzL2Rvd25yZXYueG1sUEsFBgAAAAAEAAQA8wAAADEFAAAAAA==&#10;">
                <v:stroke joinstyle="miter"/>
                <w10:wrap anchorx="margin"/>
              </v:line>
            </w:pict>
          </mc:Fallback>
        </mc:AlternateContent>
      </w:r>
    </w:p>
    <w:p w14:paraId="5AE7CECD" w14:textId="77777777" w:rsidR="0081324D" w:rsidRPr="0081324D" w:rsidRDefault="0081324D" w:rsidP="0081324D">
      <w:pPr>
        <w:rPr>
          <w:lang w:val="da-DK"/>
        </w:rPr>
      </w:pPr>
      <w:r w:rsidRPr="0081324D">
        <w:rPr>
          <w:b/>
          <w:bCs/>
          <w:lang w:val="da-DK"/>
        </w:rPr>
        <w:t>Initiativets indhold</w:t>
      </w:r>
    </w:p>
    <w:p w14:paraId="09F58816" w14:textId="3D687F7F" w:rsidR="0081324D" w:rsidRDefault="0081324D" w:rsidP="0081324D">
      <w:pPr>
        <w:rPr>
          <w:lang w:val="da-DK"/>
        </w:rPr>
      </w:pPr>
      <w:r w:rsidRPr="0081324D">
        <w:rPr>
          <w:lang w:val="da-DK"/>
        </w:rPr>
        <w:t xml:space="preserve">IT-Branchen og Rådet for digital sikkerhed foreslår, at der i forbindelse med den kommende </w:t>
      </w:r>
      <w:r w:rsidR="00DD0565">
        <w:rPr>
          <w:lang w:val="da-DK"/>
        </w:rPr>
        <w:t>S</w:t>
      </w:r>
      <w:r w:rsidRPr="0081324D">
        <w:rPr>
          <w:lang w:val="da-DK"/>
        </w:rPr>
        <w:t xml:space="preserve">trategi for </w:t>
      </w:r>
      <w:r w:rsidR="00DD0565">
        <w:rPr>
          <w:lang w:val="da-DK"/>
        </w:rPr>
        <w:t>C</w:t>
      </w:r>
      <w:r w:rsidRPr="0081324D">
        <w:rPr>
          <w:lang w:val="da-DK"/>
        </w:rPr>
        <w:t xml:space="preserve">yber- og </w:t>
      </w:r>
      <w:r w:rsidR="00DD0565">
        <w:rPr>
          <w:lang w:val="da-DK"/>
        </w:rPr>
        <w:t>I</w:t>
      </w:r>
      <w:r w:rsidRPr="0081324D">
        <w:rPr>
          <w:lang w:val="da-DK"/>
        </w:rPr>
        <w:t>nformations</w:t>
      </w:r>
      <w:r w:rsidR="00AF7A62">
        <w:rPr>
          <w:lang w:val="da-DK"/>
        </w:rPr>
        <w:t>sikkerhed</w:t>
      </w:r>
      <w:r w:rsidRPr="0081324D">
        <w:rPr>
          <w:lang w:val="da-DK"/>
        </w:rPr>
        <w:t xml:space="preserve"> igangsættes et arbejde, der skal sikre at indberetninger</w:t>
      </w:r>
      <w:r w:rsidR="00E334E0">
        <w:rPr>
          <w:lang w:val="da-DK"/>
        </w:rPr>
        <w:t xml:space="preserve"> om hændelser</w:t>
      </w:r>
      <w:r w:rsidRPr="0081324D">
        <w:rPr>
          <w:lang w:val="da-DK"/>
        </w:rPr>
        <w:t xml:space="preserve"> til </w:t>
      </w:r>
      <w:r w:rsidR="00E334E0">
        <w:rPr>
          <w:lang w:val="da-DK"/>
        </w:rPr>
        <w:t xml:space="preserve">bl.a. </w:t>
      </w:r>
      <w:r w:rsidRPr="0081324D">
        <w:rPr>
          <w:lang w:val="da-DK"/>
        </w:rPr>
        <w:t xml:space="preserve">Datatilsynet </w:t>
      </w:r>
      <w:bookmarkStart w:id="0" w:name="_GoBack"/>
      <w:bookmarkEnd w:id="0"/>
      <w:r w:rsidRPr="0081324D">
        <w:rPr>
          <w:lang w:val="da-DK"/>
        </w:rPr>
        <w:t>samt Politiets Landsdækkende center for økonomisk it-kriminalitet (LCIK) kan systematiseres og anvendes til at øge vores viden om sikkerhedshændelser. </w:t>
      </w:r>
    </w:p>
    <w:p w14:paraId="2B725FE7" w14:textId="77777777" w:rsidR="0081324D" w:rsidRPr="0081324D" w:rsidRDefault="0081324D" w:rsidP="0081324D">
      <w:pPr>
        <w:rPr>
          <w:lang w:val="da-DK"/>
        </w:rPr>
      </w:pPr>
    </w:p>
    <w:p w14:paraId="5DD5E553" w14:textId="6A2DDD0E" w:rsidR="0081324D" w:rsidRPr="002C0207" w:rsidRDefault="0081324D" w:rsidP="0081324D">
      <w:pPr>
        <w:rPr>
          <w:lang w:val="da-DK"/>
        </w:rPr>
      </w:pPr>
      <w:r w:rsidRPr="002C0207">
        <w:rPr>
          <w:lang w:val="da-DK"/>
        </w:rPr>
        <w:t xml:space="preserve">Initiativet består af </w:t>
      </w:r>
      <w:r w:rsidR="002C0207">
        <w:rPr>
          <w:lang w:val="da-DK"/>
        </w:rPr>
        <w:t>seks</w:t>
      </w:r>
      <w:r w:rsidRPr="002C0207">
        <w:rPr>
          <w:lang w:val="da-DK"/>
        </w:rPr>
        <w:t xml:space="preserve"> aktiviteter:</w:t>
      </w:r>
    </w:p>
    <w:p w14:paraId="3AC4D170" w14:textId="352E9707" w:rsidR="006A04F9" w:rsidRDefault="006A04F9" w:rsidP="0081324D">
      <w:pPr>
        <w:pStyle w:val="ListParagraph"/>
        <w:numPr>
          <w:ilvl w:val="0"/>
          <w:numId w:val="3"/>
        </w:numPr>
        <w:spacing w:after="160" w:line="259" w:lineRule="auto"/>
        <w:rPr>
          <w:lang w:val="da-DK"/>
        </w:rPr>
      </w:pPr>
      <w:r>
        <w:rPr>
          <w:lang w:val="da-DK"/>
        </w:rPr>
        <w:t xml:space="preserve">Der skal sikres en brugbar tilbagemelding til de aktører som foretager indberetning. </w:t>
      </w:r>
    </w:p>
    <w:p w14:paraId="08CB7983" w14:textId="50648165" w:rsidR="00E334E0" w:rsidRDefault="00E334E0" w:rsidP="0081324D">
      <w:pPr>
        <w:pStyle w:val="ListParagraph"/>
        <w:numPr>
          <w:ilvl w:val="0"/>
          <w:numId w:val="3"/>
        </w:numPr>
        <w:spacing w:after="160" w:line="259" w:lineRule="auto"/>
        <w:rPr>
          <w:lang w:val="da-DK"/>
        </w:rPr>
      </w:pPr>
      <w:r>
        <w:rPr>
          <w:lang w:val="da-DK"/>
        </w:rPr>
        <w:t xml:space="preserve">Der skabes et overblik over alle de forskellige kilder, hvor der indberettes og deles oplysninger om sikkerhed til og med offentlige myndigheder – f.eks. Datatilsynet, LCIK, Finanstilsynet og DCIS-samarbejdet. </w:t>
      </w:r>
    </w:p>
    <w:p w14:paraId="71CB9B22" w14:textId="4ED93E0B" w:rsidR="0081324D" w:rsidRPr="0081324D" w:rsidRDefault="0081324D" w:rsidP="0081324D">
      <w:pPr>
        <w:pStyle w:val="ListParagraph"/>
        <w:numPr>
          <w:ilvl w:val="0"/>
          <w:numId w:val="3"/>
        </w:numPr>
        <w:spacing w:after="160" w:line="259" w:lineRule="auto"/>
        <w:rPr>
          <w:lang w:val="da-DK"/>
        </w:rPr>
      </w:pPr>
      <w:r w:rsidRPr="0081324D">
        <w:rPr>
          <w:lang w:val="da-DK"/>
        </w:rPr>
        <w:t xml:space="preserve">Der etableres </w:t>
      </w:r>
      <w:r w:rsidR="00DD0565">
        <w:rPr>
          <w:lang w:val="da-DK"/>
        </w:rPr>
        <w:t>d</w:t>
      </w:r>
      <w:r w:rsidRPr="0081324D">
        <w:rPr>
          <w:lang w:val="da-DK"/>
        </w:rPr>
        <w:t xml:space="preserve">atavarehuse, hvor data fra </w:t>
      </w:r>
      <w:r w:rsidR="00E334E0">
        <w:rPr>
          <w:lang w:val="da-DK"/>
        </w:rPr>
        <w:t>kilderne</w:t>
      </w:r>
      <w:r w:rsidRPr="0081324D">
        <w:rPr>
          <w:lang w:val="da-DK"/>
        </w:rPr>
        <w:t xml:space="preserve"> kan samles og systematiseres. Datavarehusene bør placeres hos den pågældende dataejer for at sikre bedst mulig kvalitetssikring og anvendelse af data</w:t>
      </w:r>
    </w:p>
    <w:p w14:paraId="2B0B5C77" w14:textId="507EC37D" w:rsidR="0081324D" w:rsidRPr="0081324D" w:rsidRDefault="0081324D" w:rsidP="0081324D">
      <w:pPr>
        <w:pStyle w:val="ListParagraph"/>
        <w:numPr>
          <w:ilvl w:val="0"/>
          <w:numId w:val="3"/>
        </w:numPr>
        <w:spacing w:after="160" w:line="259" w:lineRule="auto"/>
        <w:rPr>
          <w:lang w:val="da-DK"/>
        </w:rPr>
      </w:pPr>
      <w:r w:rsidRPr="0081324D">
        <w:rPr>
          <w:lang w:val="da-DK"/>
        </w:rPr>
        <w:t xml:space="preserve">Der igangsættes en </w:t>
      </w:r>
      <w:r w:rsidR="00E334E0">
        <w:rPr>
          <w:lang w:val="da-DK"/>
        </w:rPr>
        <w:t xml:space="preserve">normalisering og </w:t>
      </w:r>
      <w:r w:rsidRPr="0081324D">
        <w:rPr>
          <w:lang w:val="da-DK"/>
        </w:rPr>
        <w:t>anonymisering af data, så de kan fritstilles og anvendes sammen med andre data om sikkerhedshændelser</w:t>
      </w:r>
      <w:r w:rsidR="00E334E0">
        <w:rPr>
          <w:lang w:val="da-DK"/>
        </w:rPr>
        <w:t>, f.eks. fra private sikkerhedsleverandører</w:t>
      </w:r>
      <w:r w:rsidRPr="0081324D">
        <w:rPr>
          <w:lang w:val="da-DK"/>
        </w:rPr>
        <w:t>. På denne måde kan initiativet være første led i etablering af en egentlig hændelsesdatabase</w:t>
      </w:r>
    </w:p>
    <w:p w14:paraId="6DE71778" w14:textId="77777777" w:rsidR="0081324D" w:rsidRPr="0081324D" w:rsidRDefault="0081324D" w:rsidP="0081324D">
      <w:pPr>
        <w:pStyle w:val="ListParagraph"/>
        <w:numPr>
          <w:ilvl w:val="0"/>
          <w:numId w:val="3"/>
        </w:numPr>
        <w:spacing w:after="160" w:line="259" w:lineRule="auto"/>
        <w:rPr>
          <w:lang w:val="da-DK"/>
        </w:rPr>
      </w:pPr>
      <w:r w:rsidRPr="0081324D">
        <w:rPr>
          <w:lang w:val="da-DK"/>
        </w:rPr>
        <w:t>Der igangsættes et arbejde, der skal sikre, at der er hjemmel til at anvende de indberettede data i denne sammenhæng og udstille dem i anonymiseret form.</w:t>
      </w:r>
    </w:p>
    <w:p w14:paraId="557C596B" w14:textId="40850D7B" w:rsidR="0081324D" w:rsidRDefault="0081324D" w:rsidP="0081324D">
      <w:pPr>
        <w:pStyle w:val="ListParagraph"/>
        <w:numPr>
          <w:ilvl w:val="0"/>
          <w:numId w:val="3"/>
        </w:numPr>
        <w:spacing w:after="160" w:line="259" w:lineRule="auto"/>
        <w:rPr>
          <w:lang w:val="da-DK"/>
        </w:rPr>
      </w:pPr>
      <w:r w:rsidRPr="0081324D">
        <w:rPr>
          <w:lang w:val="da-DK"/>
        </w:rPr>
        <w:t xml:space="preserve">Der igangsættes et arbejde, der skal undersøge, om der i forbindelse med indberetninger til </w:t>
      </w:r>
      <w:r w:rsidR="00E334E0">
        <w:rPr>
          <w:lang w:val="da-DK"/>
        </w:rPr>
        <w:t>kilderne</w:t>
      </w:r>
      <w:r w:rsidRPr="0081324D">
        <w:rPr>
          <w:lang w:val="da-DK"/>
        </w:rPr>
        <w:t xml:space="preserve"> kan stilles </w:t>
      </w:r>
      <w:r w:rsidR="00E334E0">
        <w:rPr>
          <w:lang w:val="da-DK"/>
        </w:rPr>
        <w:t>mere præciserede</w:t>
      </w:r>
      <w:r w:rsidRPr="0081324D">
        <w:rPr>
          <w:lang w:val="da-DK"/>
        </w:rPr>
        <w:t xml:space="preserve"> spørgsmål, der kan give mere relevant viden om sikkerhedstruslerne.</w:t>
      </w:r>
    </w:p>
    <w:p w14:paraId="1E7F3D68" w14:textId="77777777" w:rsidR="0081324D" w:rsidRPr="0081324D" w:rsidRDefault="0081324D" w:rsidP="0081324D">
      <w:pPr>
        <w:spacing w:after="160" w:line="259" w:lineRule="auto"/>
        <w:rPr>
          <w:lang w:val="da-DK"/>
        </w:rPr>
      </w:pPr>
    </w:p>
    <w:p w14:paraId="126388F7" w14:textId="77777777" w:rsidR="0081324D" w:rsidRPr="0081324D" w:rsidRDefault="0081324D" w:rsidP="0081324D">
      <w:pPr>
        <w:rPr>
          <w:lang w:val="da-DK"/>
        </w:rPr>
      </w:pPr>
      <w:r w:rsidRPr="0081324D">
        <w:rPr>
          <w:b/>
          <w:bCs/>
          <w:lang w:val="da-DK"/>
        </w:rPr>
        <w:t>Baggrund</w:t>
      </w:r>
    </w:p>
    <w:p w14:paraId="0F8A1877" w14:textId="77777777" w:rsidR="0081324D" w:rsidRDefault="0081324D" w:rsidP="0081324D">
      <w:pPr>
        <w:rPr>
          <w:lang w:val="da-DK"/>
        </w:rPr>
      </w:pPr>
      <w:r w:rsidRPr="0081324D">
        <w:rPr>
          <w:lang w:val="da-DK"/>
        </w:rPr>
        <w:t xml:space="preserve">Det ligger værdifuld viden om cybersikkerhedshændelser og </w:t>
      </w:r>
      <w:r>
        <w:rPr>
          <w:lang w:val="da-DK"/>
        </w:rPr>
        <w:t>-</w:t>
      </w:r>
      <w:r w:rsidRPr="0081324D">
        <w:rPr>
          <w:lang w:val="da-DK"/>
        </w:rPr>
        <w:t xml:space="preserve">trusler, som ikke anvendes i tilstrækkeligt omfang. </w:t>
      </w:r>
    </w:p>
    <w:p w14:paraId="3FD95191" w14:textId="77777777" w:rsidR="0081324D" w:rsidRPr="0081324D" w:rsidRDefault="0081324D" w:rsidP="0081324D">
      <w:pPr>
        <w:rPr>
          <w:lang w:val="da-DK"/>
        </w:rPr>
      </w:pPr>
    </w:p>
    <w:p w14:paraId="0F1AF455" w14:textId="6181E83B" w:rsidR="0081324D" w:rsidRDefault="0081324D" w:rsidP="0081324D">
      <w:pPr>
        <w:rPr>
          <w:lang w:val="da-DK"/>
        </w:rPr>
      </w:pPr>
      <w:r w:rsidRPr="0081324D">
        <w:rPr>
          <w:lang w:val="da-DK"/>
        </w:rPr>
        <w:t xml:space="preserve">GDPR, NIS-direktivet og lovgivning på flere sektorområder (bl.a. tele og finans) gør det obligatorisk for rigtig mange </w:t>
      </w:r>
      <w:r w:rsidR="006A04F9">
        <w:rPr>
          <w:lang w:val="da-DK"/>
        </w:rPr>
        <w:t>offentlige og private aktører</w:t>
      </w:r>
      <w:r w:rsidR="006A04F9" w:rsidRPr="0081324D">
        <w:rPr>
          <w:lang w:val="da-DK"/>
        </w:rPr>
        <w:t xml:space="preserve"> </w:t>
      </w:r>
      <w:r w:rsidRPr="0081324D">
        <w:rPr>
          <w:lang w:val="da-DK"/>
        </w:rPr>
        <w:t>at indberette brud på informationssikkerheden. Selvom alle indberetningerne ikke direkte omhandler sikkerhedshændelser, indeholder de fleste af disse alligevel værdifuld viden</w:t>
      </w:r>
      <w:r>
        <w:rPr>
          <w:lang w:val="da-DK"/>
        </w:rPr>
        <w:t>,</w:t>
      </w:r>
      <w:r w:rsidRPr="0081324D">
        <w:rPr>
          <w:lang w:val="da-DK"/>
        </w:rPr>
        <w:t xml:space="preserve"> som kan bruges i den sammenhæng.</w:t>
      </w:r>
    </w:p>
    <w:p w14:paraId="181C0D64" w14:textId="77777777" w:rsidR="0081324D" w:rsidRPr="0081324D" w:rsidRDefault="0081324D" w:rsidP="0081324D">
      <w:pPr>
        <w:rPr>
          <w:lang w:val="da-DK"/>
        </w:rPr>
      </w:pPr>
    </w:p>
    <w:p w14:paraId="073A64C3" w14:textId="4FB6FBAB" w:rsidR="0081324D" w:rsidRDefault="0081324D" w:rsidP="0081324D">
      <w:pPr>
        <w:rPr>
          <w:lang w:val="da-DK"/>
        </w:rPr>
      </w:pPr>
      <w:r w:rsidRPr="0081324D">
        <w:rPr>
          <w:lang w:val="da-DK"/>
        </w:rPr>
        <w:t xml:space="preserve">Lovene er som udgangspunkt myndighedscentrerede og har fokus på, hvad myndighederne skal have, og hvad myndighederne kan bruge det, de får, til. </w:t>
      </w:r>
      <w:r w:rsidR="006A04F9">
        <w:rPr>
          <w:lang w:val="da-DK"/>
        </w:rPr>
        <w:t>Dem, der indberetter,</w:t>
      </w:r>
      <w:r w:rsidR="006A04F9" w:rsidRPr="0081324D">
        <w:rPr>
          <w:lang w:val="da-DK"/>
        </w:rPr>
        <w:t xml:space="preserve"> </w:t>
      </w:r>
      <w:r w:rsidRPr="0081324D">
        <w:rPr>
          <w:lang w:val="da-DK"/>
        </w:rPr>
        <w:t>har generelt en oplevelse af, at data sendes ind i et sort hul, fordi der ikke sker en tilbagemelding fra myndigheden som beskriver, om data er blevet brugt, til hvad de er blevet brugt, og om virksomhedernes bidrag på nogen måde har haft gavn - f.eks. til at opklare en kriminel handling.</w:t>
      </w:r>
      <w:r w:rsidR="00E334E0">
        <w:rPr>
          <w:lang w:val="da-DK"/>
        </w:rPr>
        <w:t xml:space="preserve"> </w:t>
      </w:r>
    </w:p>
    <w:p w14:paraId="66383F7D" w14:textId="77777777" w:rsidR="0081324D" w:rsidRPr="0081324D" w:rsidRDefault="0081324D" w:rsidP="0081324D">
      <w:pPr>
        <w:rPr>
          <w:lang w:val="da-DK"/>
        </w:rPr>
      </w:pPr>
    </w:p>
    <w:p w14:paraId="16E89686" w14:textId="798C2CEF" w:rsidR="0081324D" w:rsidRDefault="0081324D" w:rsidP="0081324D">
      <w:pPr>
        <w:rPr>
          <w:lang w:val="da-DK"/>
        </w:rPr>
      </w:pPr>
      <w:r w:rsidRPr="0081324D">
        <w:rPr>
          <w:lang w:val="da-DK"/>
        </w:rPr>
        <w:t>Derfor har mange virksomheder ikke incitament til at bruge ressourcer på at foretage anmeldelsen. I stedet bliver anmeldelsen alene betragtet som en administrativ byrde. Det betyder bl.a.</w:t>
      </w:r>
      <w:r>
        <w:rPr>
          <w:lang w:val="da-DK"/>
        </w:rPr>
        <w:t>,</w:t>
      </w:r>
      <w:r w:rsidRPr="0081324D">
        <w:rPr>
          <w:lang w:val="da-DK"/>
        </w:rPr>
        <w:t xml:space="preserve"> at alt for få virksomheder og myndigheder deler deres erfaringer om digitale trusler, angreb og løsninger. Center for Cybersikkerhed modtog fx kun 38 indberetninger om sikkerhedshændelser i 2019.</w:t>
      </w:r>
      <w:r w:rsidR="006A04F9" w:rsidRPr="006A04F9">
        <w:rPr>
          <w:lang w:val="da-DK"/>
        </w:rPr>
        <w:t xml:space="preserve"> </w:t>
      </w:r>
      <w:r w:rsidR="006A04F9">
        <w:rPr>
          <w:lang w:val="da-DK"/>
        </w:rPr>
        <w:t>Der bør derfor arbejdes med at sikre en fornuftig tilbagemelding til de aktører, der skal bruge eller frivilligt bruger deres tid på at indsamle data og indberette disse. På den måde sikrer man et incitament til flere indberetninger.</w:t>
      </w:r>
    </w:p>
    <w:p w14:paraId="73E34CAC" w14:textId="77777777" w:rsidR="0081324D" w:rsidRPr="0081324D" w:rsidRDefault="0081324D" w:rsidP="0081324D">
      <w:pPr>
        <w:rPr>
          <w:lang w:val="da-DK"/>
        </w:rPr>
      </w:pPr>
    </w:p>
    <w:p w14:paraId="37D826D8" w14:textId="5DD9F8E2" w:rsidR="0081324D" w:rsidRDefault="0081324D" w:rsidP="0081324D">
      <w:pPr>
        <w:rPr>
          <w:lang w:val="da-DK"/>
        </w:rPr>
      </w:pPr>
      <w:r w:rsidRPr="5AEB483E">
        <w:rPr>
          <w:lang w:val="da-DK"/>
        </w:rPr>
        <w:t>For at sikre flere indberetninger, og for at gøre bedre brug af de indberetninger som allerede modtages, foreslår IT-Branchen og Rådet for digital sikkerhed en indsats</w:t>
      </w:r>
      <w:r w:rsidR="00B6712D" w:rsidRPr="5AEB483E">
        <w:rPr>
          <w:lang w:val="da-DK"/>
        </w:rPr>
        <w:t>,</w:t>
      </w:r>
      <w:r w:rsidRPr="5AEB483E">
        <w:rPr>
          <w:lang w:val="da-DK"/>
        </w:rPr>
        <w:t xml:space="preserve"> der skal </w:t>
      </w:r>
      <w:r w:rsidR="006A04F9" w:rsidRPr="5AEB483E">
        <w:rPr>
          <w:lang w:val="da-DK"/>
        </w:rPr>
        <w:t xml:space="preserve">normalisere, </w:t>
      </w:r>
      <w:r w:rsidRPr="5AEB483E">
        <w:rPr>
          <w:lang w:val="da-DK"/>
        </w:rPr>
        <w:t>anonymisere og udstille de indsamlede data, så de kan komme flest muligt til gavn.</w:t>
      </w:r>
      <w:r w:rsidR="006F5E8B" w:rsidRPr="5AEB483E">
        <w:rPr>
          <w:lang w:val="da-DK"/>
        </w:rPr>
        <w:t xml:space="preserve"> </w:t>
      </w:r>
      <w:r w:rsidRPr="5AEB483E">
        <w:rPr>
          <w:lang w:val="da-DK"/>
        </w:rPr>
        <w:t>Det vil være oplagt at starte de steder</w:t>
      </w:r>
      <w:r w:rsidR="006A04F9" w:rsidRPr="5AEB483E">
        <w:rPr>
          <w:lang w:val="da-DK"/>
        </w:rPr>
        <w:t>,</w:t>
      </w:r>
      <w:r w:rsidRPr="5AEB483E">
        <w:rPr>
          <w:lang w:val="da-DK"/>
        </w:rPr>
        <w:t xml:space="preserve"> hvor vi i dag har flest indberetninger,</w:t>
      </w:r>
    </w:p>
    <w:p w14:paraId="7A56FBF7" w14:textId="77777777" w:rsidR="0081324D" w:rsidRPr="0081324D" w:rsidRDefault="0081324D" w:rsidP="0081324D">
      <w:pPr>
        <w:rPr>
          <w:lang w:val="da-DK"/>
        </w:rPr>
      </w:pPr>
    </w:p>
    <w:p w14:paraId="760D2837" w14:textId="77777777" w:rsidR="0081324D" w:rsidRPr="0081324D" w:rsidRDefault="0081324D" w:rsidP="0081324D">
      <w:pPr>
        <w:pStyle w:val="ListParagraph"/>
        <w:numPr>
          <w:ilvl w:val="0"/>
          <w:numId w:val="4"/>
        </w:numPr>
        <w:spacing w:after="160" w:line="259" w:lineRule="auto"/>
        <w:rPr>
          <w:lang w:val="da-DK"/>
        </w:rPr>
      </w:pPr>
      <w:r w:rsidRPr="0081324D">
        <w:rPr>
          <w:lang w:val="da-DK"/>
        </w:rPr>
        <w:t>LCIK modtager hvert år over 20.000 indberetninger fra borgere og virksomheder.</w:t>
      </w:r>
    </w:p>
    <w:p w14:paraId="71CCBEFD" w14:textId="77777777" w:rsidR="0081324D" w:rsidRDefault="0081324D" w:rsidP="0081324D">
      <w:pPr>
        <w:pStyle w:val="ListParagraph"/>
        <w:numPr>
          <w:ilvl w:val="0"/>
          <w:numId w:val="4"/>
        </w:numPr>
        <w:spacing w:after="160" w:line="259" w:lineRule="auto"/>
        <w:rPr>
          <w:lang w:val="da-DK"/>
        </w:rPr>
      </w:pPr>
      <w:r w:rsidRPr="0081324D">
        <w:rPr>
          <w:lang w:val="da-DK"/>
        </w:rPr>
        <w:t>Datatilsynet har siden GDPR trådte i kraft modtaget over 18.000 indberetninger om databrud.</w:t>
      </w:r>
    </w:p>
    <w:p w14:paraId="56C7D73C" w14:textId="77777777" w:rsidR="0081324D" w:rsidRPr="0081324D" w:rsidRDefault="0081324D" w:rsidP="0081324D">
      <w:pPr>
        <w:spacing w:after="160" w:line="259" w:lineRule="auto"/>
        <w:rPr>
          <w:lang w:val="da-DK"/>
        </w:rPr>
      </w:pPr>
    </w:p>
    <w:p w14:paraId="4B990538" w14:textId="36DA4EC8" w:rsidR="0081324D" w:rsidRDefault="0081324D" w:rsidP="0081324D">
      <w:pPr>
        <w:rPr>
          <w:lang w:val="da-DK"/>
        </w:rPr>
      </w:pPr>
      <w:r w:rsidRPr="0081324D">
        <w:rPr>
          <w:lang w:val="da-DK"/>
        </w:rPr>
        <w:t>Disse indberetninger bruges intensivt til det specifikke formål</w:t>
      </w:r>
      <w:r w:rsidR="006A04F9">
        <w:rPr>
          <w:lang w:val="da-DK"/>
        </w:rPr>
        <w:t>,</w:t>
      </w:r>
      <w:r w:rsidRPr="0081324D">
        <w:rPr>
          <w:lang w:val="da-DK"/>
        </w:rPr>
        <w:t xml:space="preserve"> de er indsamlet til, men </w:t>
      </w:r>
      <w:r w:rsidR="006A04F9">
        <w:rPr>
          <w:lang w:val="da-DK"/>
        </w:rPr>
        <w:t>den</w:t>
      </w:r>
      <w:r w:rsidRPr="0081324D">
        <w:rPr>
          <w:lang w:val="da-DK"/>
        </w:rPr>
        <w:t xml:space="preserve"> stor</w:t>
      </w:r>
      <w:r w:rsidR="006A04F9">
        <w:rPr>
          <w:lang w:val="da-DK"/>
        </w:rPr>
        <w:t>e</w:t>
      </w:r>
      <w:r w:rsidRPr="0081324D">
        <w:rPr>
          <w:lang w:val="da-DK"/>
        </w:rPr>
        <w:t xml:space="preserve"> værdi ift. at skabe ny viden om sikkerhedshændelser og trusler</w:t>
      </w:r>
      <w:r w:rsidR="006A04F9">
        <w:rPr>
          <w:lang w:val="da-DK"/>
        </w:rPr>
        <w:t xml:space="preserve"> udnyttes ikke i</w:t>
      </w:r>
      <w:r w:rsidR="00001737">
        <w:rPr>
          <w:lang w:val="da-DK"/>
        </w:rPr>
        <w:t xml:space="preserve"> </w:t>
      </w:r>
      <w:r w:rsidR="006A04F9">
        <w:rPr>
          <w:lang w:val="da-DK"/>
        </w:rPr>
        <w:t>dag</w:t>
      </w:r>
      <w:r w:rsidRPr="0081324D">
        <w:rPr>
          <w:lang w:val="da-DK"/>
        </w:rPr>
        <w:t xml:space="preserve">. Der vil være stor værdi for anmelderne i adgang til anonymiserede data om hændelser fra lignende </w:t>
      </w:r>
      <w:r w:rsidR="006A04F9">
        <w:rPr>
          <w:lang w:val="da-DK"/>
        </w:rPr>
        <w:t>aktører</w:t>
      </w:r>
      <w:r w:rsidRPr="0081324D">
        <w:rPr>
          <w:lang w:val="da-DK"/>
        </w:rPr>
        <w:t>, eller aggregerede data i form af statistikker om typer af sikkerhedshændelser.</w:t>
      </w:r>
      <w:r w:rsidR="006A04F9">
        <w:rPr>
          <w:lang w:val="da-DK"/>
        </w:rPr>
        <w:t xml:space="preserve"> Det vil også være af stor værdi for professionelle aktører i form af sikkerhedsvirksomheder og brancheorganisationer, at kunne udnytte data</w:t>
      </w:r>
      <w:r w:rsidR="000111EE">
        <w:rPr>
          <w:lang w:val="da-DK"/>
        </w:rPr>
        <w:t xml:space="preserve"> til at vejlede om mitigerende foranstaltninger. </w:t>
      </w:r>
    </w:p>
    <w:p w14:paraId="486A08D0" w14:textId="77777777" w:rsidR="0081324D" w:rsidRPr="0081324D" w:rsidRDefault="0081324D" w:rsidP="0081324D">
      <w:pPr>
        <w:rPr>
          <w:lang w:val="da-DK"/>
        </w:rPr>
      </w:pPr>
    </w:p>
    <w:p w14:paraId="26E0FABE" w14:textId="06C70893" w:rsidR="00757755" w:rsidRPr="004D708B" w:rsidRDefault="0081324D" w:rsidP="00C56353">
      <w:pPr>
        <w:rPr>
          <w:lang w:val="da-DK"/>
        </w:rPr>
      </w:pPr>
      <w:r w:rsidRPr="0081324D">
        <w:rPr>
          <w:lang w:val="da-DK"/>
        </w:rPr>
        <w:t>For at øge værdien af de indsamlede data bør man endvidere undersøge</w:t>
      </w:r>
      <w:r w:rsidR="00C56353">
        <w:rPr>
          <w:lang w:val="da-DK"/>
        </w:rPr>
        <w:t>,</w:t>
      </w:r>
      <w:r w:rsidRPr="0081324D">
        <w:rPr>
          <w:lang w:val="da-DK"/>
        </w:rPr>
        <w:t xml:space="preserve"> om det er muligt at revidere indberetningsskemaerne</w:t>
      </w:r>
      <w:r>
        <w:rPr>
          <w:lang w:val="da-DK"/>
        </w:rPr>
        <w:t>,</w:t>
      </w:r>
      <w:r w:rsidRPr="0081324D">
        <w:rPr>
          <w:lang w:val="da-DK"/>
        </w:rPr>
        <w:t xml:space="preserve"> så der i højere grad indsamles data</w:t>
      </w:r>
      <w:r>
        <w:rPr>
          <w:lang w:val="da-DK"/>
        </w:rPr>
        <w:t>,</w:t>
      </w:r>
      <w:r w:rsidRPr="0081324D">
        <w:rPr>
          <w:lang w:val="da-DK"/>
        </w:rPr>
        <w:t xml:space="preserve"> der giver værdi til virksomhedernes og myndighedernes indsats for bedre sikkerhed. Det kan fx være </w:t>
      </w:r>
      <w:r w:rsidR="00C56353">
        <w:rPr>
          <w:lang w:val="da-DK"/>
        </w:rPr>
        <w:t>yderligere oplysninger</w:t>
      </w:r>
      <w:r w:rsidRPr="0081324D">
        <w:rPr>
          <w:lang w:val="da-DK"/>
        </w:rPr>
        <w:t xml:space="preserve"> om </w:t>
      </w:r>
      <w:r w:rsidR="00C56353">
        <w:rPr>
          <w:lang w:val="da-DK"/>
        </w:rPr>
        <w:t>sikkerhedshændelsen</w:t>
      </w:r>
      <w:r w:rsidR="006A04F9">
        <w:rPr>
          <w:lang w:val="da-DK"/>
        </w:rPr>
        <w:t xml:space="preserve"> i form af tidsstempler, IP-adresser og anvendt skadelig kode</w:t>
      </w:r>
      <w:r w:rsidR="00C56353">
        <w:rPr>
          <w:lang w:val="da-DK"/>
        </w:rPr>
        <w:t>, hvad der forsagede den og hvilke sikkerhedsforanstaltninger man har anvendt.</w:t>
      </w:r>
    </w:p>
    <w:sectPr w:rsidR="00757755" w:rsidRPr="004D708B" w:rsidSect="006F712B">
      <w:footerReference w:type="default" r:id="rId12"/>
      <w:pgSz w:w="11900" w:h="16840"/>
      <w:pgMar w:top="1701" w:right="1418" w:bottom="1701" w:left="1418"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F7FC" w14:textId="77777777" w:rsidR="00D67251" w:rsidRDefault="00D67251" w:rsidP="0008243F">
      <w:r>
        <w:separator/>
      </w:r>
    </w:p>
  </w:endnote>
  <w:endnote w:type="continuationSeparator" w:id="0">
    <w:p w14:paraId="1AF80D89" w14:textId="77777777" w:rsidR="00D67251" w:rsidRDefault="00D67251"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da">
    <w:altName w:val="Calibri"/>
    <w:charset w:val="00"/>
    <w:family w:val="auto"/>
    <w:pitch w:val="variable"/>
    <w:sig w:usb0="0000002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Franklin Gothic Dem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2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995"/>
    </w:tblGrid>
    <w:tr w:rsidR="0081324D" w:rsidRPr="003941F3" w14:paraId="74DC7B99" w14:textId="77777777" w:rsidTr="02B8E52C">
      <w:trPr>
        <w:trHeight w:val="275"/>
      </w:trPr>
      <w:tc>
        <w:tcPr>
          <w:tcW w:w="3995" w:type="dxa"/>
          <w:vAlign w:val="bottom"/>
        </w:tcPr>
        <w:p w14:paraId="09D2BE55" w14:textId="77777777" w:rsidR="0081324D" w:rsidRDefault="0081324D" w:rsidP="008223DE">
          <w:pPr>
            <w:pStyle w:val="Footer"/>
          </w:pPr>
          <w:r w:rsidRPr="00E07EBD">
            <w:rPr>
              <w:b/>
              <w:noProof/>
              <w:sz w:val="20"/>
              <w:szCs w:val="20"/>
              <w:lang w:val="da-DK" w:eastAsia="da-DK"/>
            </w:rPr>
            <w:drawing>
              <wp:anchor distT="0" distB="0" distL="0" distR="0" simplePos="0" relativeHeight="251672576" behindDoc="1" locked="0" layoutInCell="1" allowOverlap="0" wp14:anchorId="0CCA6FD3" wp14:editId="4D30A6B3">
                <wp:simplePos x="0" y="0"/>
                <wp:positionH relativeFrom="column">
                  <wp:posOffset>-1301750</wp:posOffset>
                </wp:positionH>
                <wp:positionV relativeFrom="paragraph">
                  <wp:posOffset>-22860</wp:posOffset>
                </wp:positionV>
                <wp:extent cx="845820" cy="294640"/>
                <wp:effectExtent l="0" t="0" r="0" b="10160"/>
                <wp:wrapSquare wrapText="bothSides"/>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5820" cy="294640"/>
                        </a:xfrm>
                        <a:prstGeom prst="rect">
                          <a:avLst/>
                        </a:prstGeom>
                      </pic:spPr>
                    </pic:pic>
                  </a:graphicData>
                </a:graphic>
                <wp14:sizeRelH relativeFrom="page">
                  <wp14:pctWidth>0</wp14:pctWidth>
                </wp14:sizeRelH>
                <wp14:sizeRelV relativeFrom="page">
                  <wp14:pctHeight>0</wp14:pctHeight>
                </wp14:sizeRelV>
              </wp:anchor>
            </w:drawing>
          </w:r>
        </w:p>
      </w:tc>
    </w:tr>
  </w:tbl>
  <w:p w14:paraId="497E89AD" w14:textId="77777777" w:rsidR="009C7D92" w:rsidRDefault="0081324D">
    <w:pPr>
      <w:pStyle w:val="Footer"/>
    </w:pPr>
    <w:r>
      <w:rPr>
        <w:noProof/>
      </w:rPr>
      <w:drawing>
        <wp:anchor distT="0" distB="0" distL="114300" distR="114300" simplePos="0" relativeHeight="251670528" behindDoc="0" locked="0" layoutInCell="1" allowOverlap="1" wp14:anchorId="5E7811F1" wp14:editId="3F55407D">
          <wp:simplePos x="0" y="0"/>
          <wp:positionH relativeFrom="column">
            <wp:posOffset>949325</wp:posOffset>
          </wp:positionH>
          <wp:positionV relativeFrom="paragraph">
            <wp:posOffset>-331470</wp:posOffset>
          </wp:positionV>
          <wp:extent cx="1733550" cy="377825"/>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1B02" w14:textId="77777777" w:rsidR="00D67251" w:rsidRDefault="00D67251" w:rsidP="0008243F">
      <w:r>
        <w:separator/>
      </w:r>
    </w:p>
  </w:footnote>
  <w:footnote w:type="continuationSeparator" w:id="0">
    <w:p w14:paraId="3E08737C" w14:textId="77777777" w:rsidR="00D67251" w:rsidRDefault="00D67251" w:rsidP="0008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F87"/>
    <w:multiLevelType w:val="hybridMultilevel"/>
    <w:tmpl w:val="F750650A"/>
    <w:lvl w:ilvl="0" w:tplc="43A0E08A">
      <w:start w:val="1"/>
      <w:numFmt w:val="bullet"/>
      <w:lvlText w:val=""/>
      <w:lvlJc w:val="left"/>
      <w:pPr>
        <w:ind w:left="720" w:hanging="360"/>
      </w:pPr>
      <w:rPr>
        <w:rFonts w:ascii="Symbol" w:hAnsi="Symbol" w:hint="default"/>
        <w:color w:val="C4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D30EF8"/>
    <w:multiLevelType w:val="hybridMultilevel"/>
    <w:tmpl w:val="D5825296"/>
    <w:lvl w:ilvl="0" w:tplc="BB08B61E">
      <w:start w:val="1"/>
      <w:numFmt w:val="decimal"/>
      <w:lvlText w:val="%1."/>
      <w:lvlJc w:val="left"/>
      <w:pPr>
        <w:ind w:left="720" w:hanging="360"/>
      </w:pPr>
    </w:lvl>
    <w:lvl w:ilvl="1" w:tplc="1EAC17FA">
      <w:start w:val="1"/>
      <w:numFmt w:val="lowerLetter"/>
      <w:lvlText w:val="%2."/>
      <w:lvlJc w:val="left"/>
      <w:pPr>
        <w:ind w:left="1440" w:hanging="360"/>
      </w:pPr>
    </w:lvl>
    <w:lvl w:ilvl="2" w:tplc="3B687E36">
      <w:start w:val="1"/>
      <w:numFmt w:val="lowerRoman"/>
      <w:lvlText w:val="%3."/>
      <w:lvlJc w:val="right"/>
      <w:pPr>
        <w:ind w:left="2160" w:hanging="180"/>
      </w:pPr>
    </w:lvl>
    <w:lvl w:ilvl="3" w:tplc="50403D20">
      <w:start w:val="1"/>
      <w:numFmt w:val="decimal"/>
      <w:lvlText w:val="%4."/>
      <w:lvlJc w:val="left"/>
      <w:pPr>
        <w:ind w:left="2880" w:hanging="360"/>
      </w:pPr>
    </w:lvl>
    <w:lvl w:ilvl="4" w:tplc="8686415E">
      <w:start w:val="1"/>
      <w:numFmt w:val="lowerLetter"/>
      <w:lvlText w:val="%5."/>
      <w:lvlJc w:val="left"/>
      <w:pPr>
        <w:ind w:left="3600" w:hanging="360"/>
      </w:pPr>
    </w:lvl>
    <w:lvl w:ilvl="5" w:tplc="38A6A658">
      <w:start w:val="1"/>
      <w:numFmt w:val="lowerRoman"/>
      <w:lvlText w:val="%6."/>
      <w:lvlJc w:val="right"/>
      <w:pPr>
        <w:ind w:left="4320" w:hanging="180"/>
      </w:pPr>
    </w:lvl>
    <w:lvl w:ilvl="6" w:tplc="18E0D360">
      <w:start w:val="1"/>
      <w:numFmt w:val="decimal"/>
      <w:lvlText w:val="%7."/>
      <w:lvlJc w:val="left"/>
      <w:pPr>
        <w:ind w:left="5040" w:hanging="360"/>
      </w:pPr>
    </w:lvl>
    <w:lvl w:ilvl="7" w:tplc="9CA4AA94">
      <w:start w:val="1"/>
      <w:numFmt w:val="lowerLetter"/>
      <w:lvlText w:val="%8."/>
      <w:lvlJc w:val="left"/>
      <w:pPr>
        <w:ind w:left="5760" w:hanging="360"/>
      </w:pPr>
    </w:lvl>
    <w:lvl w:ilvl="8" w:tplc="7D803180">
      <w:start w:val="1"/>
      <w:numFmt w:val="lowerRoman"/>
      <w:lvlText w:val="%9."/>
      <w:lvlJc w:val="right"/>
      <w:pPr>
        <w:ind w:left="6480" w:hanging="180"/>
      </w:pPr>
    </w:lvl>
  </w:abstractNum>
  <w:abstractNum w:abstractNumId="2" w15:restartNumberingAfterBreak="0">
    <w:nsid w:val="519A4E27"/>
    <w:multiLevelType w:val="hybridMultilevel"/>
    <w:tmpl w:val="D24C6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87012F"/>
    <w:multiLevelType w:val="hybridMultilevel"/>
    <w:tmpl w:val="1A5C8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D"/>
    <w:rsid w:val="00001737"/>
    <w:rsid w:val="000111EE"/>
    <w:rsid w:val="00035A32"/>
    <w:rsid w:val="0008243F"/>
    <w:rsid w:val="000860EC"/>
    <w:rsid w:val="001B2848"/>
    <w:rsid w:val="001C32CC"/>
    <w:rsid w:val="001E39D3"/>
    <w:rsid w:val="001E59E1"/>
    <w:rsid w:val="00246AC4"/>
    <w:rsid w:val="002544D7"/>
    <w:rsid w:val="002C0207"/>
    <w:rsid w:val="002C737B"/>
    <w:rsid w:val="00316DF3"/>
    <w:rsid w:val="0039328F"/>
    <w:rsid w:val="003941F3"/>
    <w:rsid w:val="00425D71"/>
    <w:rsid w:val="004301B1"/>
    <w:rsid w:val="004409F6"/>
    <w:rsid w:val="004654B5"/>
    <w:rsid w:val="004D708B"/>
    <w:rsid w:val="00521E66"/>
    <w:rsid w:val="005B4DD5"/>
    <w:rsid w:val="005F1DF9"/>
    <w:rsid w:val="00604B1F"/>
    <w:rsid w:val="00663330"/>
    <w:rsid w:val="006A04F9"/>
    <w:rsid w:val="006F52F6"/>
    <w:rsid w:val="006F5E8B"/>
    <w:rsid w:val="006F712B"/>
    <w:rsid w:val="007144C0"/>
    <w:rsid w:val="007528E6"/>
    <w:rsid w:val="00757755"/>
    <w:rsid w:val="00776350"/>
    <w:rsid w:val="007A5E46"/>
    <w:rsid w:val="007D2181"/>
    <w:rsid w:val="007F4FC4"/>
    <w:rsid w:val="0081324D"/>
    <w:rsid w:val="008223DE"/>
    <w:rsid w:val="008338C3"/>
    <w:rsid w:val="00884B9A"/>
    <w:rsid w:val="008A7DC4"/>
    <w:rsid w:val="008F1549"/>
    <w:rsid w:val="0096414E"/>
    <w:rsid w:val="009664E7"/>
    <w:rsid w:val="00982F41"/>
    <w:rsid w:val="00995C5D"/>
    <w:rsid w:val="009A6AB1"/>
    <w:rsid w:val="009C7D92"/>
    <w:rsid w:val="00A222D5"/>
    <w:rsid w:val="00A43E35"/>
    <w:rsid w:val="00AA63E9"/>
    <w:rsid w:val="00AF2812"/>
    <w:rsid w:val="00AF7A62"/>
    <w:rsid w:val="00B10598"/>
    <w:rsid w:val="00B6712D"/>
    <w:rsid w:val="00B83F88"/>
    <w:rsid w:val="00BA6A86"/>
    <w:rsid w:val="00BD1774"/>
    <w:rsid w:val="00BE7600"/>
    <w:rsid w:val="00C304CE"/>
    <w:rsid w:val="00C56353"/>
    <w:rsid w:val="00C64967"/>
    <w:rsid w:val="00CA7305"/>
    <w:rsid w:val="00CD2609"/>
    <w:rsid w:val="00CD2BEA"/>
    <w:rsid w:val="00D4736D"/>
    <w:rsid w:val="00D67251"/>
    <w:rsid w:val="00DD0565"/>
    <w:rsid w:val="00DE2C4E"/>
    <w:rsid w:val="00E334E0"/>
    <w:rsid w:val="00EE3E53"/>
    <w:rsid w:val="00F25EF0"/>
    <w:rsid w:val="00F62869"/>
    <w:rsid w:val="00F769F9"/>
    <w:rsid w:val="00FB51B4"/>
    <w:rsid w:val="02B8E52C"/>
    <w:rsid w:val="08F3E5A1"/>
    <w:rsid w:val="0CBCA5C0"/>
    <w:rsid w:val="55926C0B"/>
    <w:rsid w:val="5AEB483E"/>
    <w:rsid w:val="75D2A6A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D1064"/>
  <w14:defaultImageDpi w14:val="32767"/>
  <w15:chartTrackingRefBased/>
  <w15:docId w15:val="{B3BE07B7-81EC-4C68-B2D6-4EB06A6A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43F"/>
    <w:pPr>
      <w:spacing w:line="360" w:lineRule="auto"/>
    </w:pPr>
    <w:rPr>
      <w:rFonts w:ascii="Arial" w:hAnsi="Arial" w:cs="Arial"/>
      <w:sz w:val="22"/>
      <w:szCs w:val="22"/>
      <w:lang w:val="en-US"/>
    </w:rPr>
  </w:style>
  <w:style w:type="paragraph" w:styleId="Heading1">
    <w:name w:val="heading 1"/>
    <w:aliases w:val="Forside titel"/>
    <w:basedOn w:val="Normal"/>
    <w:next w:val="Normal"/>
    <w:link w:val="Heading1Char"/>
    <w:uiPriority w:val="9"/>
    <w:qFormat/>
    <w:rsid w:val="0008243F"/>
    <w:pPr>
      <w:spacing w:before="120" w:after="120" w:line="240" w:lineRule="auto"/>
      <w:outlineLvl w:val="0"/>
    </w:pPr>
    <w:rPr>
      <w:rFonts w:ascii="Ruda" w:hAnsi="Ruda"/>
      <w:b/>
      <w:color w:val="274447" w:themeColor="text1"/>
      <w:sz w:val="60"/>
      <w:szCs w:val="60"/>
    </w:rPr>
  </w:style>
  <w:style w:type="paragraph" w:styleId="Heading2">
    <w:name w:val="heading 2"/>
    <w:aliases w:val="Underside overskrift"/>
    <w:basedOn w:val="Normal"/>
    <w:next w:val="Normal"/>
    <w:link w:val="Heading2Char"/>
    <w:uiPriority w:val="9"/>
    <w:unhideWhenUsed/>
    <w:qFormat/>
    <w:rsid w:val="009A6AB1"/>
    <w:pPr>
      <w:tabs>
        <w:tab w:val="left" w:pos="8647"/>
      </w:tabs>
      <w:spacing w:before="360" w:after="360" w:line="240" w:lineRule="auto"/>
      <w:outlineLvl w:val="1"/>
    </w:pPr>
    <w:rPr>
      <w:rFonts w:ascii="Ruda" w:hAnsi="Ruda"/>
      <w:b/>
      <w:color w:val="274447" w:themeColor="text1"/>
      <w:sz w:val="48"/>
      <w:szCs w:val="20"/>
    </w:rPr>
  </w:style>
  <w:style w:type="paragraph" w:styleId="Heading3">
    <w:name w:val="heading 3"/>
    <w:aliases w:val="Forside underoverskrift"/>
    <w:basedOn w:val="Normal"/>
    <w:next w:val="Normal"/>
    <w:link w:val="Heading3Char"/>
    <w:uiPriority w:val="9"/>
    <w:unhideWhenUsed/>
    <w:qFormat/>
    <w:rsid w:val="009A6AB1"/>
    <w:pPr>
      <w:tabs>
        <w:tab w:val="left" w:pos="1418"/>
      </w:tabs>
      <w:spacing w:line="240" w:lineRule="auto"/>
      <w:outlineLvl w:val="2"/>
    </w:pPr>
    <w:rPr>
      <w:b/>
    </w:rPr>
  </w:style>
  <w:style w:type="paragraph" w:styleId="Heading4">
    <w:name w:val="heading 4"/>
    <w:aliases w:val="Underside underoverskrift"/>
    <w:basedOn w:val="Heading3"/>
    <w:next w:val="Normal"/>
    <w:link w:val="Heading4Char"/>
    <w:uiPriority w:val="9"/>
    <w:unhideWhenUsed/>
    <w:qFormat/>
    <w:rsid w:val="009A6AB1"/>
    <w:pPr>
      <w:spacing w:before="24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4B5"/>
    <w:pPr>
      <w:tabs>
        <w:tab w:val="center" w:pos="4819"/>
        <w:tab w:val="right" w:pos="9638"/>
      </w:tabs>
    </w:pPr>
  </w:style>
  <w:style w:type="character" w:customStyle="1" w:styleId="HeaderChar">
    <w:name w:val="Header Char"/>
    <w:basedOn w:val="DefaultParagraphFont"/>
    <w:link w:val="Header"/>
    <w:uiPriority w:val="99"/>
    <w:rsid w:val="004654B5"/>
  </w:style>
  <w:style w:type="paragraph" w:styleId="Footer">
    <w:name w:val="footer"/>
    <w:basedOn w:val="Normal"/>
    <w:link w:val="FooterChar"/>
    <w:uiPriority w:val="99"/>
    <w:unhideWhenUsed/>
    <w:rsid w:val="004654B5"/>
    <w:pPr>
      <w:tabs>
        <w:tab w:val="center" w:pos="4819"/>
        <w:tab w:val="right" w:pos="9638"/>
      </w:tabs>
    </w:pPr>
  </w:style>
  <w:style w:type="character" w:customStyle="1" w:styleId="FooterChar">
    <w:name w:val="Footer Char"/>
    <w:basedOn w:val="DefaultParagraphFont"/>
    <w:link w:val="Footer"/>
    <w:uiPriority w:val="99"/>
    <w:rsid w:val="004654B5"/>
  </w:style>
  <w:style w:type="table" w:styleId="TableGrid">
    <w:name w:val="Table Grid"/>
    <w:basedOn w:val="TableNormal"/>
    <w:uiPriority w:val="39"/>
    <w:rsid w:val="0046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C4E"/>
    <w:rPr>
      <w:rFonts w:eastAsiaTheme="minorEastAsia"/>
      <w:sz w:val="22"/>
      <w:szCs w:val="22"/>
      <w:lang w:val="en-US" w:eastAsia="zh-CN"/>
    </w:rPr>
  </w:style>
  <w:style w:type="character" w:customStyle="1" w:styleId="NoSpacingChar">
    <w:name w:val="No Spacing Char"/>
    <w:basedOn w:val="DefaultParagraphFont"/>
    <w:link w:val="NoSpacing"/>
    <w:uiPriority w:val="1"/>
    <w:rsid w:val="00DE2C4E"/>
    <w:rPr>
      <w:rFonts w:eastAsiaTheme="minorEastAsia"/>
      <w:sz w:val="22"/>
      <w:szCs w:val="22"/>
      <w:lang w:val="en-US" w:eastAsia="zh-CN"/>
    </w:rPr>
  </w:style>
  <w:style w:type="character" w:customStyle="1" w:styleId="Heading1Char">
    <w:name w:val="Heading 1 Char"/>
    <w:aliases w:val="Forside titel Char"/>
    <w:basedOn w:val="DefaultParagraphFont"/>
    <w:link w:val="Heading1"/>
    <w:uiPriority w:val="9"/>
    <w:rsid w:val="0008243F"/>
    <w:rPr>
      <w:rFonts w:ascii="Ruda" w:hAnsi="Ruda" w:cs="Arial"/>
      <w:b/>
      <w:color w:val="274447" w:themeColor="text1"/>
      <w:sz w:val="60"/>
      <w:szCs w:val="60"/>
      <w:lang w:val="en-US"/>
    </w:rPr>
  </w:style>
  <w:style w:type="character" w:customStyle="1" w:styleId="Heading2Char">
    <w:name w:val="Heading 2 Char"/>
    <w:aliases w:val="Underside overskrift Char"/>
    <w:basedOn w:val="DefaultParagraphFont"/>
    <w:link w:val="Heading2"/>
    <w:uiPriority w:val="9"/>
    <w:rsid w:val="009A6AB1"/>
    <w:rPr>
      <w:rFonts w:ascii="Ruda" w:hAnsi="Ruda" w:cs="Arial"/>
      <w:b/>
      <w:color w:val="274447" w:themeColor="text1"/>
      <w:sz w:val="48"/>
      <w:szCs w:val="20"/>
      <w:lang w:val="en-US"/>
    </w:rPr>
  </w:style>
  <w:style w:type="character" w:customStyle="1" w:styleId="Heading3Char">
    <w:name w:val="Heading 3 Char"/>
    <w:aliases w:val="Forside underoverskrift Char"/>
    <w:basedOn w:val="DefaultParagraphFont"/>
    <w:link w:val="Heading3"/>
    <w:uiPriority w:val="9"/>
    <w:rsid w:val="009A6AB1"/>
    <w:rPr>
      <w:rFonts w:ascii="Arial" w:hAnsi="Arial" w:cs="Arial"/>
      <w:b/>
      <w:sz w:val="22"/>
      <w:szCs w:val="22"/>
      <w:lang w:val="en-US"/>
    </w:rPr>
  </w:style>
  <w:style w:type="character" w:customStyle="1" w:styleId="Heading4Char">
    <w:name w:val="Heading 4 Char"/>
    <w:aliases w:val="Underside underoverskrift Char"/>
    <w:basedOn w:val="DefaultParagraphFont"/>
    <w:link w:val="Heading4"/>
    <w:uiPriority w:val="9"/>
    <w:rsid w:val="009A6AB1"/>
    <w:rPr>
      <w:rFonts w:ascii="Arial" w:hAnsi="Arial" w:cs="Arial"/>
      <w:b/>
      <w:sz w:val="22"/>
      <w:szCs w:val="22"/>
      <w:lang w:val="en-US"/>
    </w:rPr>
  </w:style>
  <w:style w:type="character" w:styleId="Hyperlink">
    <w:name w:val="Hyperlink"/>
    <w:basedOn w:val="DefaultParagraphFont"/>
    <w:uiPriority w:val="99"/>
    <w:unhideWhenUsed/>
    <w:rsid w:val="004301B1"/>
    <w:rPr>
      <w:color w:val="5C7BC0" w:themeColor="hyperlink"/>
      <w:u w:val="single"/>
    </w:rPr>
  </w:style>
  <w:style w:type="paragraph" w:styleId="ListParagraph">
    <w:name w:val="List Paragraph"/>
    <w:basedOn w:val="Normal"/>
    <w:uiPriority w:val="34"/>
    <w:qFormat/>
    <w:rsid w:val="00F6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OneDrive%20-%20Dansk%20Erhverv\Dokumenter\Brugerdefinerede%20Office-skabeloner\IT-Branchen%20skabelon%202020.dotx" TargetMode="External"/></Relationships>
</file>

<file path=word/theme/theme1.xml><?xml version="1.0" encoding="utf-8"?>
<a:theme xmlns:a="http://schemas.openxmlformats.org/drawingml/2006/main" name="IT-Branchen tem">
  <a:themeElements>
    <a:clrScheme name="ITB">
      <a:dk1>
        <a:srgbClr val="274447"/>
      </a:dk1>
      <a:lt1>
        <a:srgbClr val="CECECE"/>
      </a:lt1>
      <a:dk2>
        <a:srgbClr val="344469"/>
      </a:dk2>
      <a:lt2>
        <a:srgbClr val="B8DAD8"/>
      </a:lt2>
      <a:accent1>
        <a:srgbClr val="E18B86"/>
      </a:accent1>
      <a:accent2>
        <a:srgbClr val="998592"/>
      </a:accent2>
      <a:accent3>
        <a:srgbClr val="888D92"/>
      </a:accent3>
      <a:accent4>
        <a:srgbClr val="667B8B"/>
      </a:accent4>
      <a:accent5>
        <a:srgbClr val="94C8C6"/>
      </a:accent5>
      <a:accent6>
        <a:srgbClr val="274447"/>
      </a:accent6>
      <a:hlink>
        <a:srgbClr val="5C7BC0"/>
      </a:hlink>
      <a:folHlink>
        <a:srgbClr val="A1B3DB"/>
      </a:folHlink>
    </a:clrScheme>
    <a:fontScheme name="ITB">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Årstal</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4525645C44AD45AAB3AA9106B32F60" ma:contentTypeVersion="12" ma:contentTypeDescription="Opret et nyt dokument." ma:contentTypeScope="" ma:versionID="5c1c7850de3de625416c6607388f19ca">
  <xsd:schema xmlns:xsd="http://www.w3.org/2001/XMLSchema" xmlns:xs="http://www.w3.org/2001/XMLSchema" xmlns:p="http://schemas.microsoft.com/office/2006/metadata/properties" xmlns:ns2="214493cc-c5f0-4f42-9d66-609965d104c6" xmlns:ns3="9ee8d028-5f69-422a-8af8-47b83aeb9781" targetNamespace="http://schemas.microsoft.com/office/2006/metadata/properties" ma:root="true" ma:fieldsID="5d789b5235cbb43da70b372888729611" ns2:_="" ns3:_="">
    <xsd:import namespace="214493cc-c5f0-4f42-9d66-609965d104c6"/>
    <xsd:import namespace="9ee8d028-5f69-422a-8af8-47b83aeb9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3cc-c5f0-4f42-9d66-609965d1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8d028-5f69-422a-8af8-47b83aeb9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ee8d028-5f69-422a-8af8-47b83aeb9781">
      <UserInfo>
        <DisplayName>Thomas William Aschengreen</DisplayName>
        <AccountId>493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Sorteret efter tite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06773-F024-4E95-B6AF-4E21F311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3cc-c5f0-4f42-9d66-609965d104c6"/>
    <ds:schemaRef ds:uri="9ee8d028-5f69-422a-8af8-47b83aeb9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C9682-CBBD-4078-A2FF-8339268F3D05}">
  <ds:schemaRefs>
    <ds:schemaRef ds:uri="214493cc-c5f0-4f42-9d66-609965d104c6"/>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9ee8d028-5f69-422a-8af8-47b83aeb9781"/>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62E9EAF-6646-4CD4-BFEC-C95EE5061E3E}">
  <ds:schemaRefs>
    <ds:schemaRef ds:uri="http://schemas.openxmlformats.org/officeDocument/2006/bibliography"/>
  </ds:schemaRefs>
</ds:datastoreItem>
</file>

<file path=customXml/itemProps5.xml><?xml version="1.0" encoding="utf-8"?>
<ds:datastoreItem xmlns:ds="http://schemas.openxmlformats.org/officeDocument/2006/customXml" ds:itemID="{03A162C4-F74E-447D-A658-E6CE610C4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IT-Branchen%20skabelon%202020.dotx</Template>
  <TotalTime>0</TotalTime>
  <Pages>1</Pages>
  <Words>704</Words>
  <Characters>4013</Characters>
  <Application>Microsoft Office Word</Application>
  <DocSecurity>4</DocSecurity>
  <Lines>33</Lines>
  <Paragraphs>9</Paragraphs>
  <ScaleCrop>false</ScaleCrop>
  <Company>Dansk Erhverv</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Titel/Overskrift</dc:title>
  <dc:subject/>
  <dc:creator>Martin Jensen Buch</dc:creator>
  <cp:keywords/>
  <dc:description/>
  <cp:lastModifiedBy>Thomas William Aschengreen</cp:lastModifiedBy>
  <cp:revision>5</cp:revision>
  <dcterms:created xsi:type="dcterms:W3CDTF">2021-01-05T14:03:00Z</dcterms:created>
  <dcterms:modified xsi:type="dcterms:W3CDTF">2021-01-12T10:04:00Z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0x010100A94525645C44AD45AAB3AA9106B32F60</vt:lpwstr>
  </property>
</Properties>
</file>