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59535" w14:textId="77777777" w:rsidR="00AF4DB7" w:rsidRPr="00682071" w:rsidRDefault="00AF4DB7" w:rsidP="00AF4DB7">
      <w:pPr>
        <w:rPr>
          <w:rFonts w:ascii="Arial" w:hAnsi="Arial" w:cs="Arial"/>
          <w:b/>
          <w:bCs/>
          <w:color w:val="000000" w:themeColor="text1"/>
          <w:sz w:val="28"/>
          <w:szCs w:val="20"/>
          <w:lang w:eastAsia="da-DK"/>
        </w:rPr>
      </w:pPr>
    </w:p>
    <w:p w14:paraId="3619DC6F" w14:textId="77777777" w:rsidR="006E7D3A" w:rsidRPr="00682071" w:rsidRDefault="001A2ED8" w:rsidP="00AF4DB7">
      <w:pPr>
        <w:rPr>
          <w:rFonts w:ascii="Arial" w:hAnsi="Arial" w:cs="Arial"/>
          <w:b/>
          <w:bCs/>
          <w:color w:val="000000" w:themeColor="text1"/>
          <w:sz w:val="28"/>
          <w:szCs w:val="20"/>
          <w:lang w:eastAsia="da-DK"/>
        </w:rPr>
      </w:pPr>
      <w:r w:rsidRPr="00682071">
        <w:rPr>
          <w:rFonts w:ascii="Arial" w:hAnsi="Arial" w:cs="Arial"/>
          <w:b/>
          <w:bCs/>
          <w:color w:val="000000" w:themeColor="text1"/>
          <w:sz w:val="28"/>
          <w:szCs w:val="20"/>
          <w:lang w:eastAsia="da-DK"/>
        </w:rPr>
        <w:t>Det gør du, når der sker databrud</w:t>
      </w:r>
    </w:p>
    <w:p w14:paraId="192A616C" w14:textId="77777777" w:rsidR="00825FEE" w:rsidRPr="00682071" w:rsidRDefault="001A2ED8" w:rsidP="00825FEE">
      <w:pPr>
        <w:rPr>
          <w:rFonts w:ascii="Arial" w:hAnsi="Arial" w:cs="Arial"/>
        </w:rPr>
      </w:pPr>
      <w:r w:rsidRPr="00682071">
        <w:rPr>
          <w:rFonts w:ascii="Arial" w:hAnsi="Arial" w:cs="Arial"/>
          <w:b/>
        </w:rPr>
        <w:t xml:space="preserve">Som noget nyt skal virksomheder </w:t>
      </w:r>
      <w:r w:rsidR="00EB3DE8">
        <w:rPr>
          <w:rFonts w:ascii="Arial" w:hAnsi="Arial" w:cs="Arial"/>
          <w:b/>
        </w:rPr>
        <w:t>i visse situationer</w:t>
      </w:r>
      <w:r w:rsidRPr="00682071">
        <w:rPr>
          <w:rFonts w:ascii="Arial" w:hAnsi="Arial" w:cs="Arial"/>
          <w:b/>
        </w:rPr>
        <w:t xml:space="preserve"> melde databrud til Datatilsynet senest 72 timer efter, at man er blevet bekendt med </w:t>
      </w:r>
      <w:r w:rsidR="00C74A4A" w:rsidRPr="00682071">
        <w:rPr>
          <w:rFonts w:ascii="Arial" w:hAnsi="Arial" w:cs="Arial"/>
          <w:b/>
        </w:rPr>
        <w:t>det</w:t>
      </w:r>
      <w:r w:rsidRPr="00682071">
        <w:rPr>
          <w:rFonts w:ascii="Arial" w:hAnsi="Arial" w:cs="Arial"/>
          <w:b/>
        </w:rPr>
        <w:t>.</w:t>
      </w:r>
      <w:r w:rsidRPr="00682071">
        <w:rPr>
          <w:rFonts w:ascii="Arial" w:hAnsi="Arial" w:cs="Arial"/>
        </w:rPr>
        <w:t xml:space="preserve"> </w:t>
      </w:r>
      <w:r w:rsidRPr="00682071">
        <w:rPr>
          <w:rFonts w:ascii="Arial" w:hAnsi="Arial" w:cs="Arial"/>
        </w:rPr>
        <w:br/>
      </w:r>
      <w:r w:rsidRPr="00682071">
        <w:rPr>
          <w:rFonts w:ascii="Arial" w:hAnsi="Arial" w:cs="Arial"/>
        </w:rPr>
        <w:br/>
      </w:r>
      <w:r w:rsidR="00825FEE" w:rsidRPr="00682071">
        <w:rPr>
          <w:rFonts w:ascii="Arial" w:hAnsi="Arial" w:cs="Arial"/>
        </w:rPr>
        <w:t xml:space="preserve">Et databrud defineres af Datatilsynet som et brud, der ”fører til hændelig eller ulovlig tilintetgørelse, tab, ændring, uautoriseret videregivelse af eller adgang til personoplysninger der er </w:t>
      </w:r>
      <w:proofErr w:type="gramStart"/>
      <w:r w:rsidR="00825FEE" w:rsidRPr="00682071">
        <w:rPr>
          <w:rFonts w:ascii="Arial" w:hAnsi="Arial" w:cs="Arial"/>
        </w:rPr>
        <w:t>transmitteret,  opbevaret</w:t>
      </w:r>
      <w:proofErr w:type="gramEnd"/>
      <w:r w:rsidR="00825FEE" w:rsidRPr="00682071">
        <w:rPr>
          <w:rFonts w:ascii="Arial" w:hAnsi="Arial" w:cs="Arial"/>
        </w:rPr>
        <w:t xml:space="preserve"> eller på anden måde behandlet.” </w:t>
      </w:r>
    </w:p>
    <w:p w14:paraId="09E83093" w14:textId="77777777" w:rsidR="00825FEE" w:rsidRPr="00682071" w:rsidRDefault="00825FEE" w:rsidP="00825FEE">
      <w:pPr>
        <w:rPr>
          <w:rFonts w:ascii="Arial" w:hAnsi="Arial" w:cs="Arial"/>
        </w:rPr>
      </w:pPr>
    </w:p>
    <w:p w14:paraId="2B9C1DB1" w14:textId="77777777" w:rsidR="00825FEE" w:rsidRPr="00682071" w:rsidRDefault="00825FEE" w:rsidP="00825FEE">
      <w:pPr>
        <w:rPr>
          <w:rFonts w:ascii="Arial" w:hAnsi="Arial" w:cs="Arial"/>
        </w:rPr>
      </w:pPr>
      <w:r w:rsidRPr="00682071">
        <w:rPr>
          <w:rFonts w:ascii="Arial" w:hAnsi="Arial" w:cs="Arial"/>
        </w:rPr>
        <w:t xml:space="preserve">Som eksempler på brud på persondatasikkerheden kan nævnes: </w:t>
      </w:r>
    </w:p>
    <w:p w14:paraId="1F2BE22C" w14:textId="77777777" w:rsidR="00825FEE" w:rsidRPr="00682071" w:rsidRDefault="00825FEE" w:rsidP="00825FEE">
      <w:pPr>
        <w:pStyle w:val="Listeafsnit"/>
        <w:numPr>
          <w:ilvl w:val="0"/>
          <w:numId w:val="40"/>
        </w:numPr>
        <w:rPr>
          <w:rFonts w:ascii="Arial" w:hAnsi="Arial" w:cs="Arial"/>
          <w:sz w:val="22"/>
        </w:rPr>
      </w:pPr>
      <w:r w:rsidRPr="00682071">
        <w:rPr>
          <w:rFonts w:ascii="Arial" w:hAnsi="Arial" w:cs="Arial"/>
          <w:sz w:val="22"/>
        </w:rPr>
        <w:t xml:space="preserve">uautoriserede personer får adgang til personoplysninger. Det kan både være personer uden for eller inden for dataansvarliges organisation. </w:t>
      </w:r>
    </w:p>
    <w:p w14:paraId="719087C6" w14:textId="77777777" w:rsidR="00825FEE" w:rsidRPr="00682071" w:rsidRDefault="00825FEE" w:rsidP="00825FEE">
      <w:pPr>
        <w:pStyle w:val="Listeafsnit"/>
        <w:numPr>
          <w:ilvl w:val="0"/>
          <w:numId w:val="40"/>
        </w:numPr>
        <w:rPr>
          <w:rFonts w:ascii="Arial" w:hAnsi="Arial" w:cs="Arial"/>
          <w:sz w:val="22"/>
        </w:rPr>
      </w:pPr>
      <w:r w:rsidRPr="00682071">
        <w:rPr>
          <w:rFonts w:ascii="Arial" w:hAnsi="Arial" w:cs="Arial"/>
          <w:sz w:val="22"/>
        </w:rPr>
        <w:t xml:space="preserve">Medarbejdere ændrer/sletter personoplysninger ved et uheld eller videregiver personoplysninger om en kunde til uvedkommende personer. </w:t>
      </w:r>
    </w:p>
    <w:p w14:paraId="50B5B64F" w14:textId="77777777" w:rsidR="00825FEE" w:rsidRPr="00682071" w:rsidRDefault="00825FEE" w:rsidP="00825FEE">
      <w:pPr>
        <w:pStyle w:val="Listeafsnit"/>
        <w:numPr>
          <w:ilvl w:val="0"/>
          <w:numId w:val="40"/>
        </w:numPr>
        <w:rPr>
          <w:rFonts w:ascii="Arial" w:hAnsi="Arial" w:cs="Arial"/>
          <w:sz w:val="22"/>
        </w:rPr>
      </w:pPr>
      <w:r w:rsidRPr="00682071">
        <w:rPr>
          <w:rFonts w:ascii="Arial" w:hAnsi="Arial" w:cs="Arial"/>
          <w:sz w:val="22"/>
        </w:rPr>
        <w:t xml:space="preserve">Brud på den dataansvarliges server, hvor uvedkommende har fået indsigt i personoplysninger </w:t>
      </w:r>
    </w:p>
    <w:p w14:paraId="661FC672" w14:textId="77777777" w:rsidR="00825FEE" w:rsidRPr="00682071" w:rsidRDefault="00825FEE" w:rsidP="00825FEE">
      <w:pPr>
        <w:rPr>
          <w:rFonts w:ascii="Arial" w:hAnsi="Arial" w:cs="Arial"/>
          <w:b/>
        </w:rPr>
      </w:pPr>
      <w:r w:rsidRPr="00682071">
        <w:rPr>
          <w:rFonts w:ascii="Arial" w:hAnsi="Arial" w:cs="Arial"/>
        </w:rPr>
        <w:br/>
      </w:r>
      <w:r w:rsidR="00063EF4" w:rsidRPr="00682071">
        <w:rPr>
          <w:rFonts w:ascii="Arial" w:hAnsi="Arial" w:cs="Arial"/>
        </w:rPr>
        <w:t>”</w:t>
      </w:r>
      <w:r w:rsidR="001A2ED8" w:rsidRPr="00682071">
        <w:rPr>
          <w:rFonts w:ascii="Arial" w:hAnsi="Arial" w:cs="Arial"/>
        </w:rPr>
        <w:t xml:space="preserve">Er der sket </w:t>
      </w:r>
      <w:r w:rsidR="00063EF4" w:rsidRPr="00682071">
        <w:rPr>
          <w:rFonts w:ascii="Arial" w:hAnsi="Arial" w:cs="Arial"/>
        </w:rPr>
        <w:t xml:space="preserve">et </w:t>
      </w:r>
      <w:r w:rsidR="001A2ED8" w:rsidRPr="00682071">
        <w:rPr>
          <w:rFonts w:ascii="Arial" w:hAnsi="Arial" w:cs="Arial"/>
        </w:rPr>
        <w:t>brud på persondatasikkerheden</w:t>
      </w:r>
      <w:r w:rsidR="00EB3DE8">
        <w:rPr>
          <w:rFonts w:ascii="Arial" w:hAnsi="Arial" w:cs="Arial"/>
        </w:rPr>
        <w:t>, risikere</w:t>
      </w:r>
      <w:r w:rsidR="008C12DD">
        <w:rPr>
          <w:rFonts w:ascii="Arial" w:hAnsi="Arial" w:cs="Arial"/>
        </w:rPr>
        <w:t>r</w:t>
      </w:r>
      <w:r w:rsidR="00EB3DE8">
        <w:rPr>
          <w:rFonts w:ascii="Arial" w:hAnsi="Arial" w:cs="Arial"/>
        </w:rPr>
        <w:t xml:space="preserve"> </w:t>
      </w:r>
      <w:r w:rsidR="001A2ED8" w:rsidRPr="00682071">
        <w:rPr>
          <w:rFonts w:ascii="Arial" w:hAnsi="Arial" w:cs="Arial"/>
        </w:rPr>
        <w:t xml:space="preserve">virksomheden </w:t>
      </w:r>
      <w:r w:rsidR="00EB3DE8">
        <w:rPr>
          <w:rFonts w:ascii="Arial" w:hAnsi="Arial" w:cs="Arial"/>
        </w:rPr>
        <w:t xml:space="preserve">både at skulle </w:t>
      </w:r>
      <w:r w:rsidR="003C61C0">
        <w:rPr>
          <w:rFonts w:ascii="Arial" w:hAnsi="Arial" w:cs="Arial"/>
        </w:rPr>
        <w:t>underrette</w:t>
      </w:r>
      <w:r w:rsidR="00EB3DE8">
        <w:rPr>
          <w:rFonts w:ascii="Arial" w:hAnsi="Arial" w:cs="Arial"/>
        </w:rPr>
        <w:t xml:space="preserve"> datatilsynet såvel som </w:t>
      </w:r>
      <w:r w:rsidR="001A2ED8" w:rsidRPr="00682071">
        <w:rPr>
          <w:rFonts w:ascii="Arial" w:hAnsi="Arial" w:cs="Arial"/>
        </w:rPr>
        <w:t xml:space="preserve">de </w:t>
      </w:r>
      <w:r w:rsidR="00EB3DE8">
        <w:rPr>
          <w:rFonts w:ascii="Arial" w:hAnsi="Arial" w:cs="Arial"/>
        </w:rPr>
        <w:t xml:space="preserve">berørte </w:t>
      </w:r>
      <w:r w:rsidR="001A2ED8" w:rsidRPr="00682071">
        <w:rPr>
          <w:rFonts w:ascii="Arial" w:hAnsi="Arial" w:cs="Arial"/>
        </w:rPr>
        <w:t>personer.</w:t>
      </w:r>
      <w:r w:rsidRPr="00682071">
        <w:rPr>
          <w:rFonts w:ascii="Arial" w:hAnsi="Arial" w:cs="Arial"/>
        </w:rPr>
        <w:t xml:space="preserve"> </w:t>
      </w:r>
      <w:r w:rsidR="00EB3DE8">
        <w:rPr>
          <w:rFonts w:ascii="Arial" w:hAnsi="Arial" w:cs="Arial"/>
        </w:rPr>
        <w:t xml:space="preserve">Vurderingen er dog ikke helt den samme. Det er </w:t>
      </w:r>
      <w:r w:rsidR="00063EF4" w:rsidRPr="00682071">
        <w:rPr>
          <w:rFonts w:ascii="Arial" w:hAnsi="Arial" w:cs="Arial"/>
        </w:rPr>
        <w:t xml:space="preserve">derfor </w:t>
      </w:r>
      <w:r w:rsidR="003C61C0">
        <w:rPr>
          <w:rFonts w:ascii="Arial" w:hAnsi="Arial" w:cs="Arial"/>
        </w:rPr>
        <w:t>en god idé</w:t>
      </w:r>
      <w:r w:rsidR="00063EF4" w:rsidRPr="00682071">
        <w:rPr>
          <w:rFonts w:ascii="Arial" w:hAnsi="Arial" w:cs="Arial"/>
        </w:rPr>
        <w:t>, at virksomheden har en beskrevet proces for håndter</w:t>
      </w:r>
      <w:r w:rsidR="003C61C0">
        <w:rPr>
          <w:rFonts w:ascii="Arial" w:hAnsi="Arial" w:cs="Arial"/>
        </w:rPr>
        <w:t>ing af disse situationer</w:t>
      </w:r>
      <w:r w:rsidR="008C12DD">
        <w:rPr>
          <w:rFonts w:ascii="Arial" w:hAnsi="Arial" w:cs="Arial"/>
        </w:rPr>
        <w:t>,</w:t>
      </w:r>
      <w:r w:rsidR="00063EF4" w:rsidRPr="00682071">
        <w:rPr>
          <w:rFonts w:ascii="Arial" w:hAnsi="Arial" w:cs="Arial"/>
        </w:rPr>
        <w:t xml:space="preserve">” </w:t>
      </w:r>
      <w:r w:rsidR="00D300A6">
        <w:rPr>
          <w:rFonts w:ascii="Arial" w:hAnsi="Arial" w:cs="Arial"/>
        </w:rPr>
        <w:t xml:space="preserve">udtaler </w:t>
      </w:r>
      <w:r w:rsidR="00063EF4" w:rsidRPr="00682071">
        <w:rPr>
          <w:rFonts w:ascii="Arial" w:hAnsi="Arial" w:cs="Arial"/>
        </w:rPr>
        <w:t>Tim Nielsen, advokat hos DAHL Advokatfirma, med speciale i bl.a. persondata.</w:t>
      </w:r>
      <w:r w:rsidR="001A2ED8" w:rsidRPr="00682071">
        <w:rPr>
          <w:rFonts w:ascii="Arial" w:hAnsi="Arial" w:cs="Arial"/>
        </w:rPr>
        <w:br/>
      </w:r>
      <w:bookmarkStart w:id="0" w:name="_GoBack"/>
      <w:bookmarkEnd w:id="0"/>
    </w:p>
    <w:p w14:paraId="6C0CE3C5" w14:textId="77777777" w:rsidR="002D7341" w:rsidRPr="00682071" w:rsidRDefault="00646642" w:rsidP="002D7341">
      <w:pPr>
        <w:rPr>
          <w:rFonts w:ascii="Arial" w:hAnsi="Arial" w:cs="Arial"/>
          <w:b/>
        </w:rPr>
      </w:pPr>
      <w:r w:rsidRPr="00682071">
        <w:rPr>
          <w:rFonts w:ascii="Arial" w:hAnsi="Arial" w:cs="Arial"/>
          <w:b/>
        </w:rPr>
        <w:t>Det</w:t>
      </w:r>
      <w:r w:rsidR="00C74A4A" w:rsidRPr="00682071">
        <w:rPr>
          <w:rFonts w:ascii="Arial" w:hAnsi="Arial" w:cs="Arial"/>
          <w:b/>
        </w:rPr>
        <w:t xml:space="preserve"> skal </w:t>
      </w:r>
      <w:r w:rsidRPr="00682071">
        <w:rPr>
          <w:rFonts w:ascii="Arial" w:hAnsi="Arial" w:cs="Arial"/>
          <w:b/>
        </w:rPr>
        <w:t xml:space="preserve">du </w:t>
      </w:r>
      <w:r w:rsidR="00C74A4A" w:rsidRPr="00682071">
        <w:rPr>
          <w:rFonts w:ascii="Arial" w:hAnsi="Arial" w:cs="Arial"/>
          <w:b/>
        </w:rPr>
        <w:t>vurdere</w:t>
      </w:r>
      <w:r w:rsidRPr="00682071">
        <w:rPr>
          <w:rFonts w:ascii="Arial" w:hAnsi="Arial" w:cs="Arial"/>
          <w:b/>
        </w:rPr>
        <w:t xml:space="preserve"> ved et databrud</w:t>
      </w:r>
    </w:p>
    <w:p w14:paraId="458AED09" w14:textId="77777777" w:rsidR="002D7341" w:rsidRPr="00682071" w:rsidRDefault="002D7341" w:rsidP="00C74A4A">
      <w:pPr>
        <w:rPr>
          <w:rFonts w:ascii="Arial" w:hAnsi="Arial" w:cs="Arial"/>
        </w:rPr>
      </w:pPr>
      <w:r w:rsidRPr="00682071">
        <w:rPr>
          <w:rFonts w:ascii="Arial" w:hAnsi="Arial" w:cs="Arial"/>
        </w:rPr>
        <w:t>Følgende forhold bør altid indgå i den konkrete vurdering af risikoen for de registreredes rettigheder og frihedsrettigheder som følge af et brud på persondatasikkerheden:</w:t>
      </w:r>
      <w:r w:rsidR="00264638" w:rsidRPr="00682071">
        <w:rPr>
          <w:rFonts w:ascii="Arial" w:hAnsi="Arial" w:cs="Arial"/>
        </w:rPr>
        <w:br/>
      </w:r>
    </w:p>
    <w:p w14:paraId="7DB43E78" w14:textId="77777777" w:rsidR="002D7341" w:rsidRPr="00682071" w:rsidRDefault="002D7341" w:rsidP="002D7341">
      <w:pPr>
        <w:pStyle w:val="Listeafsnit"/>
        <w:numPr>
          <w:ilvl w:val="0"/>
          <w:numId w:val="37"/>
        </w:numPr>
        <w:rPr>
          <w:rFonts w:ascii="Arial" w:hAnsi="Arial" w:cs="Arial"/>
          <w:sz w:val="22"/>
        </w:rPr>
      </w:pPr>
      <w:r w:rsidRPr="00682071">
        <w:rPr>
          <w:rFonts w:ascii="Arial" w:hAnsi="Arial" w:cs="Arial"/>
          <w:sz w:val="22"/>
        </w:rPr>
        <w:t>Typen af sikkerhedsbrud, herunder om der er sket tab af oplysninger, brud på fortrolighede</w:t>
      </w:r>
      <w:r w:rsidR="00063EF4" w:rsidRPr="00682071">
        <w:rPr>
          <w:rFonts w:ascii="Arial" w:hAnsi="Arial" w:cs="Arial"/>
          <w:sz w:val="22"/>
        </w:rPr>
        <w:t>n eller en integritetskrænkelse</w:t>
      </w:r>
      <w:r w:rsidRPr="00682071">
        <w:rPr>
          <w:rFonts w:ascii="Arial" w:hAnsi="Arial" w:cs="Arial"/>
          <w:sz w:val="22"/>
        </w:rPr>
        <w:t xml:space="preserve"> </w:t>
      </w:r>
    </w:p>
    <w:p w14:paraId="06CD7763" w14:textId="77777777" w:rsidR="002D7341" w:rsidRPr="00682071" w:rsidRDefault="002D7341" w:rsidP="002D7341">
      <w:pPr>
        <w:pStyle w:val="Listeafsnit"/>
        <w:numPr>
          <w:ilvl w:val="0"/>
          <w:numId w:val="37"/>
        </w:numPr>
        <w:rPr>
          <w:rFonts w:ascii="Arial" w:hAnsi="Arial" w:cs="Arial"/>
          <w:sz w:val="22"/>
        </w:rPr>
      </w:pPr>
      <w:r w:rsidRPr="00682071">
        <w:rPr>
          <w:rFonts w:ascii="Arial" w:hAnsi="Arial" w:cs="Arial"/>
          <w:sz w:val="22"/>
        </w:rPr>
        <w:t>Oplysningernes art</w:t>
      </w:r>
      <w:r w:rsidR="00063EF4" w:rsidRPr="00682071">
        <w:rPr>
          <w:rFonts w:ascii="Arial" w:hAnsi="Arial" w:cs="Arial"/>
          <w:sz w:val="22"/>
        </w:rPr>
        <w:t xml:space="preserve"> og omfang</w:t>
      </w:r>
    </w:p>
    <w:p w14:paraId="1369B2C3" w14:textId="77777777" w:rsidR="002D7341" w:rsidRPr="00682071" w:rsidRDefault="002D7341" w:rsidP="002D7341">
      <w:pPr>
        <w:pStyle w:val="Listeafsnit"/>
        <w:numPr>
          <w:ilvl w:val="0"/>
          <w:numId w:val="37"/>
        </w:numPr>
        <w:rPr>
          <w:rFonts w:ascii="Arial" w:hAnsi="Arial" w:cs="Arial"/>
          <w:sz w:val="22"/>
        </w:rPr>
      </w:pPr>
      <w:r w:rsidRPr="00682071">
        <w:rPr>
          <w:rFonts w:ascii="Arial" w:hAnsi="Arial" w:cs="Arial"/>
          <w:sz w:val="22"/>
        </w:rPr>
        <w:t xml:space="preserve">Risikoen for at </w:t>
      </w:r>
      <w:r w:rsidR="00063EF4" w:rsidRPr="00682071">
        <w:rPr>
          <w:rFonts w:ascii="Arial" w:hAnsi="Arial" w:cs="Arial"/>
          <w:sz w:val="22"/>
        </w:rPr>
        <w:t>registrerede kan identificeres</w:t>
      </w:r>
    </w:p>
    <w:p w14:paraId="58FB933E" w14:textId="77777777" w:rsidR="002D7341" w:rsidRPr="00682071" w:rsidRDefault="002D7341" w:rsidP="002D7341">
      <w:pPr>
        <w:pStyle w:val="Listeafsnit"/>
        <w:numPr>
          <w:ilvl w:val="0"/>
          <w:numId w:val="37"/>
        </w:numPr>
        <w:rPr>
          <w:rFonts w:ascii="Arial" w:hAnsi="Arial" w:cs="Arial"/>
          <w:sz w:val="22"/>
        </w:rPr>
      </w:pPr>
      <w:r w:rsidRPr="00682071">
        <w:rPr>
          <w:rFonts w:ascii="Arial" w:hAnsi="Arial" w:cs="Arial"/>
          <w:sz w:val="22"/>
        </w:rPr>
        <w:t>Konsekvenser brudde</w:t>
      </w:r>
      <w:r w:rsidR="00063EF4" w:rsidRPr="00682071">
        <w:rPr>
          <w:rFonts w:ascii="Arial" w:hAnsi="Arial" w:cs="Arial"/>
          <w:sz w:val="22"/>
        </w:rPr>
        <w:t>t kan have for de registrerede</w:t>
      </w:r>
    </w:p>
    <w:p w14:paraId="464C9866" w14:textId="77777777" w:rsidR="002D7341" w:rsidRPr="00682071" w:rsidRDefault="002D7341" w:rsidP="002D7341">
      <w:pPr>
        <w:pStyle w:val="Listeafsnit"/>
        <w:numPr>
          <w:ilvl w:val="0"/>
          <w:numId w:val="37"/>
        </w:numPr>
        <w:rPr>
          <w:rFonts w:ascii="Arial" w:hAnsi="Arial" w:cs="Arial"/>
          <w:sz w:val="22"/>
        </w:rPr>
      </w:pPr>
      <w:r w:rsidRPr="00682071">
        <w:rPr>
          <w:rFonts w:ascii="Arial" w:hAnsi="Arial" w:cs="Arial"/>
          <w:sz w:val="22"/>
        </w:rPr>
        <w:t>Hvorvidt bruddet omfatter særlige registrerede (f.eks. hvis der er tale</w:t>
      </w:r>
      <w:r w:rsidR="00063EF4" w:rsidRPr="00682071">
        <w:rPr>
          <w:rFonts w:ascii="Arial" w:hAnsi="Arial" w:cs="Arial"/>
          <w:sz w:val="22"/>
        </w:rPr>
        <w:t xml:space="preserve"> om børn eller særligt udsatte)</w:t>
      </w:r>
      <w:r w:rsidRPr="00682071">
        <w:rPr>
          <w:rFonts w:ascii="Arial" w:hAnsi="Arial" w:cs="Arial"/>
          <w:sz w:val="22"/>
        </w:rPr>
        <w:t xml:space="preserve"> </w:t>
      </w:r>
    </w:p>
    <w:p w14:paraId="037F69F5" w14:textId="77777777" w:rsidR="002D7341" w:rsidRPr="00682071" w:rsidRDefault="002D7341" w:rsidP="002D7341">
      <w:pPr>
        <w:pStyle w:val="Listeafsnit"/>
        <w:numPr>
          <w:ilvl w:val="0"/>
          <w:numId w:val="37"/>
        </w:numPr>
        <w:rPr>
          <w:rFonts w:ascii="Arial" w:hAnsi="Arial" w:cs="Arial"/>
        </w:rPr>
      </w:pPr>
      <w:r w:rsidRPr="00682071">
        <w:rPr>
          <w:rFonts w:ascii="Arial" w:hAnsi="Arial" w:cs="Arial"/>
          <w:sz w:val="22"/>
        </w:rPr>
        <w:t>Antallet af berørte fysiske personer</w:t>
      </w:r>
    </w:p>
    <w:p w14:paraId="4A109ADE" w14:textId="77777777" w:rsidR="00646642" w:rsidRPr="00682071" w:rsidRDefault="00646642" w:rsidP="00646642">
      <w:pPr>
        <w:rPr>
          <w:rFonts w:ascii="Arial" w:hAnsi="Arial" w:cs="Arial"/>
          <w:b/>
        </w:rPr>
      </w:pPr>
    </w:p>
    <w:p w14:paraId="7A121FB2" w14:textId="77777777" w:rsidR="002D7341" w:rsidRPr="00682071" w:rsidRDefault="00C74A4A" w:rsidP="00264638">
      <w:pPr>
        <w:rPr>
          <w:rFonts w:ascii="Arial" w:hAnsi="Arial" w:cs="Arial"/>
          <w:b/>
        </w:rPr>
      </w:pPr>
      <w:r w:rsidRPr="00682071">
        <w:rPr>
          <w:rFonts w:ascii="Arial" w:hAnsi="Arial" w:cs="Arial"/>
          <w:b/>
        </w:rPr>
        <w:t>Hvem skal anmelde et brud</w:t>
      </w:r>
      <w:r w:rsidR="00851730" w:rsidRPr="00682071">
        <w:rPr>
          <w:rFonts w:ascii="Arial" w:hAnsi="Arial" w:cs="Arial"/>
          <w:b/>
        </w:rPr>
        <w:t xml:space="preserve"> og hvor</w:t>
      </w:r>
      <w:r w:rsidR="00646642" w:rsidRPr="00682071">
        <w:rPr>
          <w:rFonts w:ascii="Arial" w:hAnsi="Arial" w:cs="Arial"/>
          <w:b/>
        </w:rPr>
        <w:t xml:space="preserve"> </w:t>
      </w:r>
      <w:r w:rsidR="00851730" w:rsidRPr="00682071">
        <w:rPr>
          <w:rFonts w:ascii="Arial" w:hAnsi="Arial" w:cs="Arial"/>
          <w:b/>
        </w:rPr>
        <w:t>henne</w:t>
      </w:r>
    </w:p>
    <w:p w14:paraId="2456E2D5" w14:textId="77777777" w:rsidR="002D7341" w:rsidRPr="00682071" w:rsidRDefault="002D7341" w:rsidP="002D7341">
      <w:pPr>
        <w:rPr>
          <w:rFonts w:ascii="Arial" w:hAnsi="Arial" w:cs="Arial"/>
        </w:rPr>
      </w:pPr>
      <w:r w:rsidRPr="00682071">
        <w:rPr>
          <w:rFonts w:ascii="Arial" w:hAnsi="Arial" w:cs="Arial"/>
        </w:rPr>
        <w:t xml:space="preserve">Som udgangspunkt er det den dataansvarlige, som anmelder et brud på persondatasikkerheden til Datatilsynet.  </w:t>
      </w:r>
    </w:p>
    <w:p w14:paraId="3448BFE6" w14:textId="77777777" w:rsidR="002D7341" w:rsidRPr="00682071" w:rsidRDefault="002D7341" w:rsidP="002D7341">
      <w:pPr>
        <w:rPr>
          <w:rFonts w:ascii="Arial" w:hAnsi="Arial" w:cs="Arial"/>
        </w:rPr>
      </w:pPr>
      <w:r w:rsidRPr="00682071">
        <w:rPr>
          <w:rFonts w:ascii="Arial" w:hAnsi="Arial" w:cs="Arial"/>
        </w:rPr>
        <w:t xml:space="preserve"> </w:t>
      </w:r>
    </w:p>
    <w:p w14:paraId="65F6AF12" w14:textId="77777777" w:rsidR="00264638" w:rsidRPr="00682071" w:rsidRDefault="002D7341" w:rsidP="00264638">
      <w:pPr>
        <w:rPr>
          <w:rFonts w:ascii="Arial" w:hAnsi="Arial" w:cs="Arial"/>
          <w:b/>
        </w:rPr>
      </w:pPr>
      <w:r w:rsidRPr="00682071">
        <w:rPr>
          <w:rFonts w:ascii="Arial" w:hAnsi="Arial" w:cs="Arial"/>
        </w:rPr>
        <w:t xml:space="preserve">En </w:t>
      </w:r>
      <w:proofErr w:type="gramStart"/>
      <w:r w:rsidRPr="00682071">
        <w:rPr>
          <w:rFonts w:ascii="Arial" w:hAnsi="Arial" w:cs="Arial"/>
        </w:rPr>
        <w:t>databehandler vil</w:t>
      </w:r>
      <w:proofErr w:type="gramEnd"/>
      <w:r w:rsidRPr="00682071">
        <w:rPr>
          <w:rFonts w:ascii="Arial" w:hAnsi="Arial" w:cs="Arial"/>
        </w:rPr>
        <w:t xml:space="preserve"> </w:t>
      </w:r>
      <w:r w:rsidR="00684298" w:rsidRPr="00682071">
        <w:rPr>
          <w:rFonts w:ascii="Arial" w:hAnsi="Arial" w:cs="Arial"/>
        </w:rPr>
        <w:t xml:space="preserve">dog </w:t>
      </w:r>
      <w:r w:rsidRPr="00682071">
        <w:rPr>
          <w:rFonts w:ascii="Arial" w:hAnsi="Arial" w:cs="Arial"/>
        </w:rPr>
        <w:t>også kunne anmelde et brud på persondatasikkerheden til Datatilsynet på vegne af den dataansvarlige. Dette forudsætter imidlertid, at databehandleren har fået bemyndigelse hertil, og at dette fremgår af den databehandleraftale, der er indgået mellem parterne.</w:t>
      </w:r>
      <w:r w:rsidRPr="00682071">
        <w:rPr>
          <w:rFonts w:ascii="Arial" w:hAnsi="Arial" w:cs="Arial"/>
        </w:rPr>
        <w:br/>
      </w:r>
    </w:p>
    <w:p w14:paraId="43A7418C" w14:textId="77777777" w:rsidR="00851730" w:rsidRPr="00682071" w:rsidRDefault="00851730" w:rsidP="00851730">
      <w:pPr>
        <w:rPr>
          <w:rFonts w:ascii="Arial" w:hAnsi="Arial" w:cs="Arial"/>
        </w:rPr>
      </w:pPr>
      <w:r w:rsidRPr="00682071">
        <w:rPr>
          <w:rFonts w:ascii="Arial" w:hAnsi="Arial" w:cs="Arial"/>
        </w:rPr>
        <w:t>For at gøre det nemt og enkelt for virksomheder og myndigheder at indberette databrud, arbejdes der i øjeblikket på at etablere én fælles digital løsning, der vil blive placeret på Virk.dk. Løsningen vil være klar, når databeskyttelsesforordningen træder i kraft 25. maj 2018.</w:t>
      </w:r>
    </w:p>
    <w:p w14:paraId="028A62F1" w14:textId="77777777" w:rsidR="00851730" w:rsidRPr="00682071" w:rsidRDefault="00851730" w:rsidP="00851730">
      <w:pPr>
        <w:rPr>
          <w:rFonts w:ascii="Arial" w:hAnsi="Arial" w:cs="Arial"/>
          <w:b/>
        </w:rPr>
      </w:pPr>
      <w:r w:rsidRPr="00682071">
        <w:rPr>
          <w:rFonts w:ascii="Arial" w:hAnsi="Arial" w:cs="Arial"/>
        </w:rPr>
        <w:br/>
        <w:t>D</w:t>
      </w:r>
      <w:r w:rsidR="00EC37BE" w:rsidRPr="00682071">
        <w:rPr>
          <w:rFonts w:ascii="Arial" w:hAnsi="Arial" w:cs="Arial"/>
        </w:rPr>
        <w:t>ansk</w:t>
      </w:r>
      <w:r w:rsidRPr="00682071">
        <w:rPr>
          <w:rFonts w:ascii="Arial" w:hAnsi="Arial" w:cs="Arial"/>
        </w:rPr>
        <w:t>e</w:t>
      </w:r>
      <w:r w:rsidR="00EC37BE" w:rsidRPr="00682071">
        <w:rPr>
          <w:rFonts w:ascii="Arial" w:hAnsi="Arial" w:cs="Arial"/>
        </w:rPr>
        <w:t xml:space="preserve"> virksomhed</w:t>
      </w:r>
      <w:r w:rsidRPr="00682071">
        <w:rPr>
          <w:rFonts w:ascii="Arial" w:hAnsi="Arial" w:cs="Arial"/>
        </w:rPr>
        <w:t>er</w:t>
      </w:r>
      <w:r w:rsidR="00EC37BE" w:rsidRPr="00682071">
        <w:rPr>
          <w:rFonts w:ascii="Arial" w:hAnsi="Arial" w:cs="Arial"/>
        </w:rPr>
        <w:t xml:space="preserve"> kan </w:t>
      </w:r>
      <w:r w:rsidRPr="00682071">
        <w:rPr>
          <w:rFonts w:ascii="Arial" w:hAnsi="Arial" w:cs="Arial"/>
        </w:rPr>
        <w:t xml:space="preserve">også </w:t>
      </w:r>
      <w:r w:rsidR="00EC37BE" w:rsidRPr="00682071">
        <w:rPr>
          <w:rFonts w:ascii="Arial" w:hAnsi="Arial" w:cs="Arial"/>
        </w:rPr>
        <w:t xml:space="preserve">behandle oplysninger </w:t>
      </w:r>
      <w:r w:rsidRPr="00682071">
        <w:rPr>
          <w:rFonts w:ascii="Arial" w:hAnsi="Arial" w:cs="Arial"/>
        </w:rPr>
        <w:t>om</w:t>
      </w:r>
      <w:r w:rsidR="00EC37BE" w:rsidRPr="00682071">
        <w:rPr>
          <w:rFonts w:ascii="Arial" w:hAnsi="Arial" w:cs="Arial"/>
        </w:rPr>
        <w:t xml:space="preserve"> personer, der befinder sig i andre EU-medlemslande. </w:t>
      </w:r>
      <w:r w:rsidRPr="00682071">
        <w:rPr>
          <w:rFonts w:ascii="Arial" w:hAnsi="Arial" w:cs="Arial"/>
        </w:rPr>
        <w:t xml:space="preserve">I sådanne situationer kan det være nødvendigt, at kontakte myndighederne i de </w:t>
      </w:r>
      <w:r w:rsidRPr="00682071">
        <w:rPr>
          <w:rFonts w:ascii="Arial" w:hAnsi="Arial" w:cs="Arial"/>
        </w:rPr>
        <w:lastRenderedPageBreak/>
        <w:t>relevante land</w:t>
      </w:r>
      <w:r w:rsidR="00063EF4" w:rsidRPr="00682071">
        <w:rPr>
          <w:rFonts w:ascii="Arial" w:hAnsi="Arial" w:cs="Arial"/>
        </w:rPr>
        <w:t>e</w:t>
      </w:r>
      <w:r w:rsidR="00EC37BE" w:rsidRPr="00682071">
        <w:rPr>
          <w:rFonts w:ascii="Arial" w:hAnsi="Arial" w:cs="Arial"/>
        </w:rPr>
        <w:t xml:space="preserve">.  </w:t>
      </w:r>
      <w:r w:rsidRPr="00682071">
        <w:rPr>
          <w:rFonts w:ascii="Arial" w:hAnsi="Arial" w:cs="Arial"/>
        </w:rPr>
        <w:br/>
      </w:r>
    </w:p>
    <w:p w14:paraId="12026B2E" w14:textId="77777777" w:rsidR="00EC37BE" w:rsidRPr="00682071" w:rsidRDefault="00646642" w:rsidP="00EC37BE">
      <w:pPr>
        <w:rPr>
          <w:rFonts w:ascii="Arial" w:hAnsi="Arial" w:cs="Arial"/>
          <w:b/>
        </w:rPr>
      </w:pPr>
      <w:r w:rsidRPr="00682071">
        <w:rPr>
          <w:rFonts w:ascii="Arial" w:hAnsi="Arial" w:cs="Arial"/>
          <w:b/>
        </w:rPr>
        <w:t>Berørte personer skal også have besked</w:t>
      </w:r>
    </w:p>
    <w:p w14:paraId="01D67CF6" w14:textId="77777777" w:rsidR="00EC37BE" w:rsidRPr="00682071" w:rsidRDefault="00EC37BE" w:rsidP="00EC37BE">
      <w:pPr>
        <w:rPr>
          <w:rFonts w:ascii="Arial" w:hAnsi="Arial" w:cs="Arial"/>
        </w:rPr>
      </w:pPr>
      <w:r w:rsidRPr="00682071">
        <w:rPr>
          <w:rFonts w:ascii="Arial" w:hAnsi="Arial" w:cs="Arial"/>
        </w:rPr>
        <w:t>Når et brud på persondatasikkerheden indebære</w:t>
      </w:r>
      <w:r w:rsidR="00851730" w:rsidRPr="00682071">
        <w:rPr>
          <w:rFonts w:ascii="Arial" w:hAnsi="Arial" w:cs="Arial"/>
        </w:rPr>
        <w:t>r</w:t>
      </w:r>
      <w:r w:rsidRPr="00682071">
        <w:rPr>
          <w:rFonts w:ascii="Arial" w:hAnsi="Arial" w:cs="Arial"/>
        </w:rPr>
        <w:t xml:space="preserve"> en høj risiko for personers rettigheder og frihedsrettigheder, skal den dataansvarlige også underrette de</w:t>
      </w:r>
      <w:r w:rsidR="00851730" w:rsidRPr="00682071">
        <w:rPr>
          <w:rFonts w:ascii="Arial" w:hAnsi="Arial" w:cs="Arial"/>
        </w:rPr>
        <w:t xml:space="preserve"> berørte</w:t>
      </w:r>
      <w:r w:rsidRPr="00682071">
        <w:rPr>
          <w:rFonts w:ascii="Arial" w:hAnsi="Arial" w:cs="Arial"/>
        </w:rPr>
        <w:t xml:space="preserve"> </w:t>
      </w:r>
      <w:r w:rsidR="00851730" w:rsidRPr="00682071">
        <w:rPr>
          <w:rFonts w:ascii="Arial" w:hAnsi="Arial" w:cs="Arial"/>
        </w:rPr>
        <w:t>personer</w:t>
      </w:r>
      <w:r w:rsidRPr="00682071">
        <w:rPr>
          <w:rFonts w:ascii="Arial" w:hAnsi="Arial" w:cs="Arial"/>
        </w:rPr>
        <w:t xml:space="preserve"> om bruddet. </w:t>
      </w:r>
    </w:p>
    <w:p w14:paraId="1C84AB28" w14:textId="77777777" w:rsidR="00EC37BE" w:rsidRPr="00682071" w:rsidRDefault="00EC37BE" w:rsidP="00EC37BE">
      <w:pPr>
        <w:rPr>
          <w:rFonts w:ascii="Arial" w:hAnsi="Arial" w:cs="Arial"/>
        </w:rPr>
      </w:pPr>
    </w:p>
    <w:p w14:paraId="28A6E372" w14:textId="77777777" w:rsidR="00063EF4" w:rsidRPr="00682071" w:rsidRDefault="00063EF4" w:rsidP="00063EF4">
      <w:pPr>
        <w:rPr>
          <w:rFonts w:ascii="Arial" w:hAnsi="Arial" w:cs="Arial"/>
        </w:rPr>
      </w:pPr>
      <w:r w:rsidRPr="00682071">
        <w:rPr>
          <w:rFonts w:ascii="Arial" w:hAnsi="Arial" w:cs="Arial"/>
        </w:rPr>
        <w:t xml:space="preserve">Når man underretter de berørte personer, skal man som minimum: </w:t>
      </w:r>
    </w:p>
    <w:p w14:paraId="25704297" w14:textId="77777777" w:rsidR="00063EF4" w:rsidRPr="00682071" w:rsidRDefault="00063EF4" w:rsidP="00063EF4">
      <w:pPr>
        <w:pStyle w:val="Listeafsnit"/>
        <w:numPr>
          <w:ilvl w:val="0"/>
          <w:numId w:val="39"/>
        </w:numPr>
        <w:rPr>
          <w:rFonts w:ascii="Arial" w:hAnsi="Arial" w:cs="Arial"/>
          <w:sz w:val="22"/>
        </w:rPr>
      </w:pPr>
      <w:r w:rsidRPr="00682071">
        <w:rPr>
          <w:rFonts w:ascii="Arial" w:hAnsi="Arial" w:cs="Arial"/>
          <w:sz w:val="22"/>
        </w:rPr>
        <w:t xml:space="preserve">Angive navn på og kontaktoplysninger for databeskyttelsesrådgiveren eller et andet kontaktpunkt, hvor yderligere oplysninger kan indhentes  </w:t>
      </w:r>
    </w:p>
    <w:p w14:paraId="5EB75AD8" w14:textId="77777777" w:rsidR="00063EF4" w:rsidRPr="00682071" w:rsidRDefault="00063EF4" w:rsidP="00063EF4">
      <w:pPr>
        <w:pStyle w:val="Listeafsnit"/>
        <w:numPr>
          <w:ilvl w:val="0"/>
          <w:numId w:val="39"/>
        </w:numPr>
        <w:rPr>
          <w:rFonts w:ascii="Arial" w:hAnsi="Arial" w:cs="Arial"/>
          <w:sz w:val="22"/>
        </w:rPr>
      </w:pPr>
      <w:r w:rsidRPr="00682071">
        <w:rPr>
          <w:rFonts w:ascii="Arial" w:hAnsi="Arial" w:cs="Arial"/>
          <w:sz w:val="22"/>
        </w:rPr>
        <w:t>Beskrive de sandsynlige konsekvenser af bruddet på persondatasikkerheden</w:t>
      </w:r>
    </w:p>
    <w:p w14:paraId="3B24EEF4" w14:textId="77777777" w:rsidR="00063EF4" w:rsidRPr="00682071" w:rsidRDefault="00063EF4" w:rsidP="00063EF4">
      <w:pPr>
        <w:pStyle w:val="Listeafsnit"/>
        <w:numPr>
          <w:ilvl w:val="0"/>
          <w:numId w:val="39"/>
        </w:numPr>
        <w:rPr>
          <w:rFonts w:ascii="Arial" w:hAnsi="Arial" w:cs="Arial"/>
          <w:sz w:val="22"/>
        </w:rPr>
      </w:pPr>
      <w:r w:rsidRPr="00682071">
        <w:rPr>
          <w:rFonts w:ascii="Arial" w:hAnsi="Arial" w:cs="Arial"/>
          <w:sz w:val="22"/>
        </w:rPr>
        <w:t xml:space="preserve">Beskrive de foranstaltninger, som man har truffet for at håndtere bruddet på persondatasikkerheden. Herunder hvad man har gjort for at begrænse de mulige skadevirkninger. </w:t>
      </w:r>
    </w:p>
    <w:p w14:paraId="12EFE25B" w14:textId="77777777" w:rsidR="00EC37BE" w:rsidRPr="00682071" w:rsidRDefault="00063EF4" w:rsidP="00EC37BE">
      <w:pPr>
        <w:rPr>
          <w:rFonts w:ascii="Arial" w:hAnsi="Arial" w:cs="Arial"/>
        </w:rPr>
      </w:pPr>
      <w:r w:rsidRPr="00682071">
        <w:rPr>
          <w:rFonts w:ascii="Arial" w:hAnsi="Arial" w:cs="Arial"/>
        </w:rPr>
        <w:br/>
      </w:r>
      <w:r w:rsidR="00646642" w:rsidRPr="00682071">
        <w:rPr>
          <w:rFonts w:ascii="Arial" w:hAnsi="Arial" w:cs="Arial"/>
        </w:rPr>
        <w:t>Et eksempel kunne være, hvor e</w:t>
      </w:r>
      <w:r w:rsidR="00EC37BE" w:rsidRPr="00682071">
        <w:rPr>
          <w:rFonts w:ascii="Arial" w:hAnsi="Arial" w:cs="Arial"/>
        </w:rPr>
        <w:t xml:space="preserve">n musikstreamingtjeneste er blevet hacket, </w:t>
      </w:r>
      <w:r w:rsidR="00646642" w:rsidRPr="00682071">
        <w:rPr>
          <w:rFonts w:ascii="Arial" w:hAnsi="Arial" w:cs="Arial"/>
        </w:rPr>
        <w:t xml:space="preserve">og hvor </w:t>
      </w:r>
      <w:r w:rsidR="00EC37BE" w:rsidRPr="00682071">
        <w:rPr>
          <w:rFonts w:ascii="Arial" w:hAnsi="Arial" w:cs="Arial"/>
        </w:rPr>
        <w:t>brugerdatabase</w:t>
      </w:r>
      <w:r w:rsidR="00646642" w:rsidRPr="00682071">
        <w:rPr>
          <w:rFonts w:ascii="Arial" w:hAnsi="Arial" w:cs="Arial"/>
        </w:rPr>
        <w:t>n</w:t>
      </w:r>
      <w:r w:rsidR="00EC37BE" w:rsidRPr="00682071">
        <w:rPr>
          <w:rFonts w:ascii="Arial" w:hAnsi="Arial" w:cs="Arial"/>
        </w:rPr>
        <w:t xml:space="preserve"> </w:t>
      </w:r>
      <w:r w:rsidRPr="00682071">
        <w:rPr>
          <w:rFonts w:ascii="Arial" w:hAnsi="Arial" w:cs="Arial"/>
        </w:rPr>
        <w:t>(</w:t>
      </w:r>
      <w:r w:rsidR="00646642" w:rsidRPr="00682071">
        <w:rPr>
          <w:rFonts w:ascii="Arial" w:hAnsi="Arial" w:cs="Arial"/>
        </w:rPr>
        <w:t xml:space="preserve">inkl. </w:t>
      </w:r>
      <w:r w:rsidR="00EC37BE" w:rsidRPr="00682071">
        <w:rPr>
          <w:rFonts w:ascii="Arial" w:hAnsi="Arial" w:cs="Arial"/>
        </w:rPr>
        <w:t>brugernes fulde navn, musikpræferencer samt brugernavn og adgangskode</w:t>
      </w:r>
      <w:r w:rsidRPr="00682071">
        <w:rPr>
          <w:rFonts w:ascii="Arial" w:hAnsi="Arial" w:cs="Arial"/>
        </w:rPr>
        <w:t>) efterfølgende er blevet offentliggjort på internettet</w:t>
      </w:r>
      <w:r w:rsidR="00EC37BE" w:rsidRPr="00682071">
        <w:rPr>
          <w:rFonts w:ascii="Arial" w:hAnsi="Arial" w:cs="Arial"/>
        </w:rPr>
        <w:t xml:space="preserve">.  </w:t>
      </w:r>
    </w:p>
    <w:p w14:paraId="17CB7D20" w14:textId="77777777" w:rsidR="00EC37BE" w:rsidRPr="00682071" w:rsidRDefault="00EC37BE" w:rsidP="00EC37BE">
      <w:pPr>
        <w:rPr>
          <w:rFonts w:ascii="Arial" w:hAnsi="Arial" w:cs="Arial"/>
        </w:rPr>
      </w:pPr>
      <w:r w:rsidRPr="00682071">
        <w:rPr>
          <w:rFonts w:ascii="Arial" w:hAnsi="Arial" w:cs="Arial"/>
        </w:rPr>
        <w:t xml:space="preserve"> </w:t>
      </w:r>
    </w:p>
    <w:p w14:paraId="748BF3B6" w14:textId="77777777" w:rsidR="00EC37BE" w:rsidRPr="00682071" w:rsidRDefault="00EC37BE" w:rsidP="00EC37BE">
      <w:pPr>
        <w:rPr>
          <w:rFonts w:ascii="Arial" w:hAnsi="Arial" w:cs="Arial"/>
        </w:rPr>
      </w:pPr>
      <w:r w:rsidRPr="00682071">
        <w:rPr>
          <w:rFonts w:ascii="Arial" w:hAnsi="Arial" w:cs="Arial"/>
        </w:rPr>
        <w:t xml:space="preserve">De negative konsekvenser ved lækagen for de registrerede kan umiddelbart virke relativt harmløse. </w:t>
      </w:r>
      <w:r w:rsidR="00646642" w:rsidRPr="00682071">
        <w:rPr>
          <w:rFonts w:ascii="Arial" w:hAnsi="Arial" w:cs="Arial"/>
        </w:rPr>
        <w:t>Men d</w:t>
      </w:r>
      <w:r w:rsidRPr="00682071">
        <w:rPr>
          <w:rFonts w:ascii="Arial" w:hAnsi="Arial" w:cs="Arial"/>
        </w:rPr>
        <w:t>a adgangskoderne er blevet kompromitteret, skal de</w:t>
      </w:r>
      <w:r w:rsidR="00063EF4" w:rsidRPr="00682071">
        <w:rPr>
          <w:rFonts w:ascii="Arial" w:hAnsi="Arial" w:cs="Arial"/>
        </w:rPr>
        <w:t xml:space="preserve"> fornys</w:t>
      </w:r>
      <w:r w:rsidRPr="00682071">
        <w:rPr>
          <w:rFonts w:ascii="Arial" w:hAnsi="Arial" w:cs="Arial"/>
        </w:rPr>
        <w:t xml:space="preserve">. </w:t>
      </w:r>
      <w:r w:rsidR="00646642" w:rsidRPr="00682071">
        <w:rPr>
          <w:rFonts w:ascii="Arial" w:hAnsi="Arial" w:cs="Arial"/>
        </w:rPr>
        <w:br/>
      </w:r>
      <w:r w:rsidR="00646642" w:rsidRPr="00682071">
        <w:rPr>
          <w:rFonts w:ascii="Arial" w:hAnsi="Arial" w:cs="Arial"/>
        </w:rPr>
        <w:br/>
      </w:r>
      <w:r w:rsidRPr="00682071">
        <w:rPr>
          <w:rFonts w:ascii="Arial" w:hAnsi="Arial" w:cs="Arial"/>
        </w:rPr>
        <w:t xml:space="preserve">Eftersom mange brugere anvender den samme adgangskode på forskellige konti, vil bruddet som en sekundær negativ virkning sandsynligvis også medføre et brud på fortroligheden i forbindelse med en anden konto. </w:t>
      </w:r>
      <w:r w:rsidR="00646642" w:rsidRPr="00682071">
        <w:rPr>
          <w:rFonts w:ascii="Arial" w:hAnsi="Arial" w:cs="Arial"/>
        </w:rPr>
        <w:br/>
      </w:r>
      <w:r w:rsidR="00646642" w:rsidRPr="00682071">
        <w:rPr>
          <w:rFonts w:ascii="Arial" w:hAnsi="Arial" w:cs="Arial"/>
        </w:rPr>
        <w:br/>
      </w:r>
      <w:r w:rsidRPr="00682071">
        <w:rPr>
          <w:rFonts w:ascii="Arial" w:hAnsi="Arial" w:cs="Arial"/>
        </w:rPr>
        <w:t>Underretningen skal derfor også indeholde oplysninger om de sandsynlige negative virkninger i forbindelse med andre konti og bør derfor omfatte en anbefaling om at bruge forskellige adgangskoder på forskellige websteder og om at forny adgangskoderne til konti, hvor den kompromitterede adgangskode blev anvendt.</w:t>
      </w:r>
    </w:p>
    <w:p w14:paraId="38118B13" w14:textId="77777777" w:rsidR="00EC37BE" w:rsidRPr="00682071" w:rsidRDefault="00EC37BE" w:rsidP="00EC37BE">
      <w:pPr>
        <w:rPr>
          <w:rFonts w:ascii="Arial" w:hAnsi="Arial" w:cs="Arial"/>
        </w:rPr>
      </w:pPr>
    </w:p>
    <w:p w14:paraId="1411186B" w14:textId="77777777" w:rsidR="00646642" w:rsidRPr="00682071" w:rsidRDefault="00646642" w:rsidP="00646642">
      <w:pPr>
        <w:rPr>
          <w:rFonts w:ascii="Arial" w:hAnsi="Arial" w:cs="Arial"/>
        </w:rPr>
      </w:pPr>
      <w:r w:rsidRPr="00682071">
        <w:rPr>
          <w:rFonts w:ascii="Arial" w:hAnsi="Arial" w:cs="Arial"/>
          <w:b/>
        </w:rPr>
        <w:t>Hvornår skal et brud ikke anmeldes</w:t>
      </w:r>
      <w:r w:rsidRPr="00682071">
        <w:rPr>
          <w:rFonts w:ascii="Arial" w:hAnsi="Arial" w:cs="Arial"/>
        </w:rPr>
        <w:br/>
        <w:t xml:space="preserve">Et brud på persondatasikkerheden skal </w:t>
      </w:r>
      <w:r w:rsidRPr="00682071">
        <w:rPr>
          <w:rFonts w:ascii="Arial" w:hAnsi="Arial" w:cs="Arial"/>
          <w:u w:val="single"/>
        </w:rPr>
        <w:t>ikke</w:t>
      </w:r>
      <w:r w:rsidRPr="00682071">
        <w:rPr>
          <w:rFonts w:ascii="Arial" w:hAnsi="Arial" w:cs="Arial"/>
        </w:rPr>
        <w:t xml:space="preserve"> anmeldes til Datatilsynet, hvis det er usandsynligt, at bruddet indebærer en risiko for personernes rettigheder eller frihedsrettigheder.  </w:t>
      </w:r>
    </w:p>
    <w:p w14:paraId="6EE28368" w14:textId="77777777" w:rsidR="00646642" w:rsidRPr="00682071" w:rsidRDefault="00646642" w:rsidP="00646642">
      <w:pPr>
        <w:rPr>
          <w:rFonts w:ascii="Arial" w:hAnsi="Arial" w:cs="Arial"/>
        </w:rPr>
      </w:pPr>
      <w:r w:rsidRPr="00682071">
        <w:rPr>
          <w:rFonts w:ascii="Arial" w:hAnsi="Arial" w:cs="Arial"/>
        </w:rPr>
        <w:t xml:space="preserve"> </w:t>
      </w:r>
    </w:p>
    <w:p w14:paraId="02D81203" w14:textId="77777777" w:rsidR="00646642" w:rsidRPr="00682071" w:rsidRDefault="00646642" w:rsidP="00646642">
      <w:pPr>
        <w:rPr>
          <w:rFonts w:ascii="Arial" w:hAnsi="Arial" w:cs="Arial"/>
        </w:rPr>
      </w:pPr>
      <w:r w:rsidRPr="00682071">
        <w:rPr>
          <w:rFonts w:ascii="Arial" w:hAnsi="Arial" w:cs="Arial"/>
        </w:rPr>
        <w:t xml:space="preserve">Bruddet skal </w:t>
      </w:r>
      <w:r w:rsidR="00403E90" w:rsidRPr="00682071">
        <w:rPr>
          <w:rFonts w:ascii="Arial" w:hAnsi="Arial" w:cs="Arial"/>
        </w:rPr>
        <w:t xml:space="preserve">heller </w:t>
      </w:r>
      <w:r w:rsidRPr="00682071">
        <w:rPr>
          <w:rFonts w:ascii="Arial" w:hAnsi="Arial" w:cs="Arial"/>
        </w:rPr>
        <w:t xml:space="preserve">ikke anmeldes til de berørte kunder/personer, hvis den dataansvarlige efterfølgende har sikret, at den høje risiko for de registrerede ikke længere er reel. </w:t>
      </w:r>
    </w:p>
    <w:p w14:paraId="3637BFDA" w14:textId="77777777" w:rsidR="00646642" w:rsidRPr="00682071" w:rsidRDefault="00646642" w:rsidP="00646642">
      <w:pPr>
        <w:rPr>
          <w:rFonts w:ascii="Arial" w:hAnsi="Arial" w:cs="Arial"/>
        </w:rPr>
      </w:pPr>
    </w:p>
    <w:p w14:paraId="13C7E1F8" w14:textId="77777777" w:rsidR="00646642" w:rsidRPr="00682071" w:rsidRDefault="00646642" w:rsidP="00646642">
      <w:pPr>
        <w:rPr>
          <w:rFonts w:ascii="Arial" w:hAnsi="Arial" w:cs="Arial"/>
        </w:rPr>
      </w:pPr>
      <w:r w:rsidRPr="00682071">
        <w:rPr>
          <w:rFonts w:ascii="Arial" w:hAnsi="Arial" w:cs="Arial"/>
        </w:rPr>
        <w:t xml:space="preserve">Det kan f.eks. skyldes de sikkerhedsforanstaltninger, som er truffet af den dataansvarlige eller hurtig indgriben samt mulighed for at konstatere, om personoplysninger er kommet til uvedkommendes kendskab.   </w:t>
      </w:r>
    </w:p>
    <w:p w14:paraId="7634B46B" w14:textId="77777777" w:rsidR="00646642" w:rsidRPr="00682071" w:rsidRDefault="00646642" w:rsidP="00646642">
      <w:pPr>
        <w:rPr>
          <w:rFonts w:ascii="Arial" w:hAnsi="Arial" w:cs="Arial"/>
        </w:rPr>
      </w:pPr>
      <w:r w:rsidRPr="00682071">
        <w:rPr>
          <w:rFonts w:ascii="Arial" w:hAnsi="Arial" w:cs="Arial"/>
        </w:rPr>
        <w:br/>
        <w:t xml:space="preserve">Den dataansvarlige vil endelig også kunne undlade at underrette de registrerede enkeltvis, hvis det i det konkrete tilfælde vil kræve en uforholdsmæssig indsats.  </w:t>
      </w:r>
    </w:p>
    <w:p w14:paraId="5EFA5818" w14:textId="77777777" w:rsidR="00646642" w:rsidRPr="00682071" w:rsidRDefault="00646642" w:rsidP="00646642">
      <w:pPr>
        <w:rPr>
          <w:rFonts w:ascii="Arial" w:hAnsi="Arial" w:cs="Arial"/>
        </w:rPr>
      </w:pPr>
      <w:r w:rsidRPr="00682071">
        <w:rPr>
          <w:rFonts w:ascii="Arial" w:hAnsi="Arial" w:cs="Arial"/>
        </w:rPr>
        <w:t xml:space="preserve"> </w:t>
      </w:r>
    </w:p>
    <w:p w14:paraId="451267DC" w14:textId="77777777" w:rsidR="00646642" w:rsidRPr="00682071" w:rsidRDefault="00646642" w:rsidP="00646642">
      <w:pPr>
        <w:rPr>
          <w:rFonts w:ascii="Arial" w:hAnsi="Arial" w:cs="Arial"/>
        </w:rPr>
      </w:pPr>
      <w:r w:rsidRPr="00682071">
        <w:rPr>
          <w:rFonts w:ascii="Arial" w:hAnsi="Arial" w:cs="Arial"/>
        </w:rPr>
        <w:t xml:space="preserve">Som eksempel på et tilfælde, som umiddelbart må anses for at være omfattet af denne undtagelse, kan nævnes en situation, hvor en virksomhed har mistet </w:t>
      </w:r>
      <w:r w:rsidR="00403E90" w:rsidRPr="00682071">
        <w:rPr>
          <w:rFonts w:ascii="Arial" w:hAnsi="Arial" w:cs="Arial"/>
        </w:rPr>
        <w:t>adgang til</w:t>
      </w:r>
      <w:r w:rsidRPr="00682071">
        <w:rPr>
          <w:rFonts w:ascii="Arial" w:hAnsi="Arial" w:cs="Arial"/>
        </w:rPr>
        <w:t xml:space="preserve"> alle kundeoplysninger i forbindelse med, at virksomheden er blevet ramt af ransomware.  </w:t>
      </w:r>
    </w:p>
    <w:p w14:paraId="6E274646" w14:textId="77777777" w:rsidR="00646642" w:rsidRPr="00682071" w:rsidRDefault="00646642" w:rsidP="00646642">
      <w:pPr>
        <w:rPr>
          <w:rFonts w:ascii="Arial" w:hAnsi="Arial" w:cs="Arial"/>
        </w:rPr>
      </w:pPr>
      <w:r w:rsidRPr="00682071">
        <w:rPr>
          <w:rFonts w:ascii="Arial" w:hAnsi="Arial" w:cs="Arial"/>
        </w:rPr>
        <w:t xml:space="preserve"> </w:t>
      </w:r>
    </w:p>
    <w:p w14:paraId="73BFE616" w14:textId="77777777" w:rsidR="00646642" w:rsidRPr="00682071" w:rsidRDefault="00646642" w:rsidP="00646642">
      <w:pPr>
        <w:rPr>
          <w:rFonts w:ascii="Arial" w:hAnsi="Arial" w:cs="Arial"/>
        </w:rPr>
      </w:pPr>
      <w:r w:rsidRPr="00682071">
        <w:rPr>
          <w:rFonts w:ascii="Arial" w:hAnsi="Arial" w:cs="Arial"/>
        </w:rPr>
        <w:t xml:space="preserve">Hvis </w:t>
      </w:r>
      <w:r w:rsidR="00403E90" w:rsidRPr="00682071">
        <w:rPr>
          <w:rFonts w:ascii="Arial" w:hAnsi="Arial" w:cs="Arial"/>
        </w:rPr>
        <w:t>virksomheden vurderer</w:t>
      </w:r>
      <w:r w:rsidRPr="00682071">
        <w:rPr>
          <w:rFonts w:ascii="Arial" w:hAnsi="Arial" w:cs="Arial"/>
        </w:rPr>
        <w:t>, at det vil kræve en uforholdsmæssig indsats at underret</w:t>
      </w:r>
      <w:r w:rsidR="00403E90" w:rsidRPr="00682071">
        <w:rPr>
          <w:rFonts w:ascii="Arial" w:hAnsi="Arial" w:cs="Arial"/>
        </w:rPr>
        <w:t>te</w:t>
      </w:r>
      <w:r w:rsidRPr="00682071">
        <w:rPr>
          <w:rFonts w:ascii="Arial" w:hAnsi="Arial" w:cs="Arial"/>
        </w:rPr>
        <w:t xml:space="preserve"> til hver enkelt registrerede, vil der i stedet skulle foretages en offentlig meddelelse eller tilsvarende foranstaltning, hvorved de registrerede underrettes</w:t>
      </w:r>
      <w:r w:rsidR="00403E90" w:rsidRPr="00682071">
        <w:rPr>
          <w:rFonts w:ascii="Arial" w:hAnsi="Arial" w:cs="Arial"/>
        </w:rPr>
        <w:t xml:space="preserve"> på </w:t>
      </w:r>
      <w:r w:rsidRPr="00682071">
        <w:rPr>
          <w:rFonts w:ascii="Arial" w:hAnsi="Arial" w:cs="Arial"/>
        </w:rPr>
        <w:t xml:space="preserve">en tilsvarende effektiv måde. </w:t>
      </w:r>
    </w:p>
    <w:p w14:paraId="23EAC12C" w14:textId="77777777" w:rsidR="00403E90" w:rsidRPr="00682071" w:rsidRDefault="00646642" w:rsidP="00403E90">
      <w:pPr>
        <w:rPr>
          <w:rFonts w:ascii="Arial" w:hAnsi="Arial" w:cs="Arial"/>
          <w:b/>
        </w:rPr>
      </w:pPr>
      <w:r w:rsidRPr="00682071">
        <w:rPr>
          <w:rFonts w:ascii="Arial" w:hAnsi="Arial" w:cs="Arial"/>
        </w:rPr>
        <w:lastRenderedPageBreak/>
        <w:br/>
      </w:r>
      <w:r w:rsidR="00403E90" w:rsidRPr="00682071">
        <w:rPr>
          <w:rFonts w:ascii="Arial" w:hAnsi="Arial" w:cs="Arial"/>
          <w:b/>
        </w:rPr>
        <w:t>Vil du vide mere?</w:t>
      </w:r>
    </w:p>
    <w:p w14:paraId="00016D1C" w14:textId="77777777" w:rsidR="00403E90" w:rsidRPr="00682071" w:rsidRDefault="00403E90" w:rsidP="00403E90">
      <w:pPr>
        <w:rPr>
          <w:rFonts w:ascii="Arial" w:hAnsi="Arial" w:cs="Arial"/>
        </w:rPr>
      </w:pPr>
      <w:r w:rsidRPr="00682071">
        <w:rPr>
          <w:rFonts w:ascii="Arial" w:hAnsi="Arial" w:cs="Arial"/>
        </w:rPr>
        <w:t xml:space="preserve">I forbindelse med </w:t>
      </w:r>
      <w:hyperlink r:id="rId12" w:history="1">
        <w:r w:rsidRPr="00682071">
          <w:rPr>
            <w:rStyle w:val="Hyperlink"/>
            <w:rFonts w:ascii="Arial" w:hAnsi="Arial" w:cs="Arial"/>
          </w:rPr>
          <w:t>persondataforordningen har vi lavet et tema-univers om emnet</w:t>
        </w:r>
      </w:hyperlink>
      <w:r w:rsidRPr="00682071">
        <w:rPr>
          <w:rFonts w:ascii="Arial" w:hAnsi="Arial" w:cs="Arial"/>
        </w:rPr>
        <w:t>, hvor du kan finde råd og vejledning om, hvordan du bliver klar til GDPR-direktivet.</w:t>
      </w:r>
    </w:p>
    <w:p w14:paraId="51C38085" w14:textId="77777777" w:rsidR="00403E90" w:rsidRPr="00682071" w:rsidRDefault="00403E90" w:rsidP="00403E90">
      <w:pPr>
        <w:rPr>
          <w:rFonts w:ascii="Arial" w:hAnsi="Arial" w:cs="Arial"/>
        </w:rPr>
      </w:pPr>
    </w:p>
    <w:p w14:paraId="542654BE" w14:textId="77777777" w:rsidR="00176382" w:rsidRPr="00682071" w:rsidRDefault="00403E90" w:rsidP="00403E90">
      <w:pPr>
        <w:rPr>
          <w:rFonts w:ascii="Arial" w:hAnsi="Arial" w:cs="Arial"/>
        </w:rPr>
      </w:pPr>
      <w:r w:rsidRPr="00682071">
        <w:rPr>
          <w:rFonts w:ascii="Arial" w:hAnsi="Arial" w:cs="Arial"/>
        </w:rPr>
        <w:t xml:space="preserve">Og så er du som medlem af IT-Branchen altid velkommen til at tage fat i </w:t>
      </w:r>
      <w:hyperlink r:id="rId13" w:history="1">
        <w:r w:rsidRPr="00682071">
          <w:rPr>
            <w:rStyle w:val="Hyperlink"/>
            <w:rFonts w:ascii="Arial" w:hAnsi="Arial" w:cs="Arial"/>
          </w:rPr>
          <w:t>DAHL Advokatfirma</w:t>
        </w:r>
      </w:hyperlink>
      <w:r w:rsidRPr="00682071">
        <w:rPr>
          <w:rFonts w:ascii="Arial" w:hAnsi="Arial" w:cs="Arial"/>
        </w:rPr>
        <w:t xml:space="preserve"> eller i Dansk Erhvervs jurister på 33 74 64 00, hvis du har spørgsmål om persondataforordningen.</w:t>
      </w:r>
      <w:r w:rsidRPr="00682071">
        <w:rPr>
          <w:rFonts w:ascii="Arial" w:hAnsi="Arial" w:cs="Arial"/>
        </w:rPr>
        <w:br/>
      </w:r>
      <w:r w:rsidRPr="00682071">
        <w:rPr>
          <w:rFonts w:ascii="Arial" w:hAnsi="Arial" w:cs="Arial"/>
        </w:rPr>
        <w:br/>
      </w:r>
      <w:r w:rsidRPr="00682071">
        <w:rPr>
          <w:rFonts w:ascii="Arial" w:hAnsi="Arial" w:cs="Arial"/>
        </w:rPr>
        <w:br/>
      </w:r>
      <w:r w:rsidR="00176382" w:rsidRPr="00682071">
        <w:rPr>
          <w:rFonts w:ascii="Arial" w:hAnsi="Arial" w:cs="Arial"/>
          <w:b/>
        </w:rPr>
        <w:t>Eksempler fra Datatilsynet</w:t>
      </w:r>
      <w:r w:rsidR="00176382" w:rsidRPr="00682071">
        <w:rPr>
          <w:rFonts w:ascii="Arial" w:hAnsi="Arial" w:cs="Arial"/>
          <w:b/>
        </w:rPr>
        <w:br/>
      </w:r>
      <w:proofErr w:type="spellStart"/>
      <w:r w:rsidR="00176382" w:rsidRPr="00682071">
        <w:rPr>
          <w:rFonts w:ascii="Arial" w:hAnsi="Arial" w:cs="Arial"/>
        </w:rPr>
        <w:t>Datatilsynet</w:t>
      </w:r>
      <w:proofErr w:type="spellEnd"/>
      <w:r w:rsidR="00176382" w:rsidRPr="00682071">
        <w:rPr>
          <w:rFonts w:ascii="Arial" w:hAnsi="Arial" w:cs="Arial"/>
        </w:rPr>
        <w:t xml:space="preserve"> er kommet med et par eksempler på, hvornår man skal melde databrud til dem, og hvornår man ikke skal.</w:t>
      </w:r>
      <w:r w:rsidR="00176382" w:rsidRPr="00682071">
        <w:rPr>
          <w:rFonts w:ascii="Arial" w:hAnsi="Arial" w:cs="Arial"/>
        </w:rPr>
        <w:br/>
      </w:r>
      <w:r w:rsidR="00176382" w:rsidRPr="00682071">
        <w:rPr>
          <w:rFonts w:ascii="Arial" w:hAnsi="Arial" w:cs="Arial"/>
        </w:rPr>
        <w:br/>
        <w:t xml:space="preserve">Man kan finde flere eksempler i Datatilsynets </w:t>
      </w:r>
      <w:hyperlink r:id="rId14" w:history="1">
        <w:r w:rsidR="00176382" w:rsidRPr="00682071">
          <w:rPr>
            <w:rStyle w:val="Hyperlink"/>
            <w:rFonts w:ascii="Arial" w:hAnsi="Arial" w:cs="Arial"/>
          </w:rPr>
          <w:t>Vejledning om håndtering af brud på persondatasikkerheden.</w:t>
        </w:r>
      </w:hyperlink>
    </w:p>
    <w:p w14:paraId="5D8DF056" w14:textId="77777777" w:rsidR="00176382" w:rsidRPr="00682071" w:rsidRDefault="00176382" w:rsidP="00646642">
      <w:pPr>
        <w:rPr>
          <w:rFonts w:ascii="Arial" w:hAnsi="Arial" w:cs="Arial"/>
        </w:rPr>
      </w:pPr>
    </w:p>
    <w:tbl>
      <w:tblPr>
        <w:tblStyle w:val="Tabel-Gitter"/>
        <w:tblW w:w="0" w:type="auto"/>
        <w:tblLook w:val="04A0" w:firstRow="1" w:lastRow="0" w:firstColumn="1" w:lastColumn="0" w:noHBand="0" w:noVBand="1"/>
      </w:tblPr>
      <w:tblGrid>
        <w:gridCol w:w="3209"/>
        <w:gridCol w:w="3209"/>
        <w:gridCol w:w="3210"/>
      </w:tblGrid>
      <w:tr w:rsidR="00176382" w:rsidRPr="00682071" w14:paraId="6251AD95" w14:textId="77777777" w:rsidTr="00176382">
        <w:tc>
          <w:tcPr>
            <w:tcW w:w="3209" w:type="dxa"/>
          </w:tcPr>
          <w:p w14:paraId="294A01FD" w14:textId="77777777" w:rsidR="00176382" w:rsidRPr="00682071" w:rsidRDefault="00176382" w:rsidP="00646642">
            <w:pPr>
              <w:rPr>
                <w:rFonts w:ascii="Arial" w:hAnsi="Arial" w:cs="Arial"/>
                <w:b/>
              </w:rPr>
            </w:pPr>
            <w:r w:rsidRPr="00682071">
              <w:rPr>
                <w:rFonts w:ascii="Arial" w:hAnsi="Arial" w:cs="Arial"/>
                <w:b/>
              </w:rPr>
              <w:t>Eksempel</w:t>
            </w:r>
          </w:p>
        </w:tc>
        <w:tc>
          <w:tcPr>
            <w:tcW w:w="3209" w:type="dxa"/>
          </w:tcPr>
          <w:p w14:paraId="173B0C39" w14:textId="77777777" w:rsidR="00176382" w:rsidRPr="00682071" w:rsidRDefault="00176382" w:rsidP="00646642">
            <w:pPr>
              <w:rPr>
                <w:rFonts w:ascii="Arial" w:hAnsi="Arial" w:cs="Arial"/>
                <w:b/>
              </w:rPr>
            </w:pPr>
            <w:r w:rsidRPr="00682071">
              <w:rPr>
                <w:rFonts w:ascii="Arial" w:hAnsi="Arial" w:cs="Arial"/>
                <w:b/>
              </w:rPr>
              <w:t>Skal der ske anmeldelse til Datatilsynet?</w:t>
            </w:r>
          </w:p>
        </w:tc>
        <w:tc>
          <w:tcPr>
            <w:tcW w:w="3210" w:type="dxa"/>
          </w:tcPr>
          <w:p w14:paraId="4F509ADB" w14:textId="77777777" w:rsidR="00176382" w:rsidRPr="00682071" w:rsidRDefault="00176382" w:rsidP="00646642">
            <w:pPr>
              <w:rPr>
                <w:rFonts w:ascii="Arial" w:hAnsi="Arial" w:cs="Arial"/>
                <w:b/>
              </w:rPr>
            </w:pPr>
            <w:r w:rsidRPr="00682071">
              <w:rPr>
                <w:rFonts w:ascii="Arial" w:hAnsi="Arial" w:cs="Arial"/>
                <w:b/>
              </w:rPr>
              <w:t xml:space="preserve">Skal den registrerede underrettes?  </w:t>
            </w:r>
          </w:p>
        </w:tc>
      </w:tr>
      <w:tr w:rsidR="00176382" w:rsidRPr="00682071" w14:paraId="673731F6" w14:textId="77777777" w:rsidTr="00176382">
        <w:tc>
          <w:tcPr>
            <w:tcW w:w="3209" w:type="dxa"/>
          </w:tcPr>
          <w:p w14:paraId="727D07CA" w14:textId="77777777" w:rsidR="00176382" w:rsidRPr="00682071" w:rsidRDefault="00176382" w:rsidP="00176382">
            <w:pPr>
              <w:rPr>
                <w:rFonts w:ascii="Arial" w:hAnsi="Arial" w:cs="Arial"/>
              </w:rPr>
            </w:pPr>
            <w:r w:rsidRPr="00682071">
              <w:rPr>
                <w:rFonts w:ascii="Arial" w:hAnsi="Arial" w:cs="Arial"/>
              </w:rPr>
              <w:t>En klinik for fysioterapi bliver udsat for ransomware, da en medarbejder trykker på et link i en e-mail.</w:t>
            </w:r>
            <w:r w:rsidR="00403E90" w:rsidRPr="00682071">
              <w:rPr>
                <w:rFonts w:ascii="Arial" w:hAnsi="Arial" w:cs="Arial"/>
              </w:rPr>
              <w:br/>
            </w:r>
            <w:r w:rsidR="00403E90" w:rsidRPr="00682071">
              <w:rPr>
                <w:rFonts w:ascii="Arial" w:hAnsi="Arial" w:cs="Arial"/>
              </w:rPr>
              <w:br/>
            </w:r>
            <w:r w:rsidRPr="00682071">
              <w:rPr>
                <w:rFonts w:ascii="Arial" w:hAnsi="Arial" w:cs="Arial"/>
              </w:rPr>
              <w:t>Dette resulterer i, at al data, herunder helbredsoplysninger om</w:t>
            </w:r>
            <w:r w:rsidR="00403E90" w:rsidRPr="00682071">
              <w:rPr>
                <w:rFonts w:ascii="Arial" w:hAnsi="Arial" w:cs="Arial"/>
              </w:rPr>
              <w:t xml:space="preserve"> 200</w:t>
            </w:r>
            <w:r w:rsidRPr="00682071">
              <w:rPr>
                <w:rFonts w:ascii="Arial" w:hAnsi="Arial" w:cs="Arial"/>
              </w:rPr>
              <w:t xml:space="preserve"> patienterne bliver krypteret og lå</w:t>
            </w:r>
            <w:r w:rsidR="00403E90" w:rsidRPr="00682071">
              <w:rPr>
                <w:rFonts w:ascii="Arial" w:hAnsi="Arial" w:cs="Arial"/>
              </w:rPr>
              <w:t>st for klinikkens medarbejdere.</w:t>
            </w:r>
          </w:p>
          <w:p w14:paraId="41A0C858" w14:textId="77777777" w:rsidR="00176382" w:rsidRPr="00682071" w:rsidRDefault="00176382" w:rsidP="00176382">
            <w:pPr>
              <w:rPr>
                <w:rFonts w:ascii="Arial" w:hAnsi="Arial" w:cs="Arial"/>
              </w:rPr>
            </w:pPr>
            <w:r w:rsidRPr="00682071">
              <w:rPr>
                <w:rFonts w:ascii="Arial" w:hAnsi="Arial" w:cs="Arial"/>
              </w:rPr>
              <w:t xml:space="preserve"> </w:t>
            </w:r>
          </w:p>
          <w:p w14:paraId="5032AA77" w14:textId="77777777" w:rsidR="00176382" w:rsidRPr="00682071" w:rsidRDefault="00176382" w:rsidP="00403E90">
            <w:pPr>
              <w:rPr>
                <w:rFonts w:ascii="Arial" w:hAnsi="Arial" w:cs="Arial"/>
              </w:rPr>
            </w:pPr>
            <w:r w:rsidRPr="00682071">
              <w:rPr>
                <w:rFonts w:ascii="Arial" w:hAnsi="Arial" w:cs="Arial"/>
              </w:rPr>
              <w:t xml:space="preserve">Klinikken har foretaget backup af sine systemer, men det er også lykkes bagmændene at kryptere disse. </w:t>
            </w:r>
          </w:p>
        </w:tc>
        <w:tc>
          <w:tcPr>
            <w:tcW w:w="3209" w:type="dxa"/>
          </w:tcPr>
          <w:p w14:paraId="42C2708C" w14:textId="77777777" w:rsidR="00176382" w:rsidRPr="00682071" w:rsidRDefault="00176382" w:rsidP="00176382">
            <w:pPr>
              <w:rPr>
                <w:rFonts w:ascii="Arial" w:hAnsi="Arial" w:cs="Arial"/>
              </w:rPr>
            </w:pPr>
            <w:r w:rsidRPr="00682071">
              <w:rPr>
                <w:rFonts w:ascii="Arial" w:hAnsi="Arial" w:cs="Arial"/>
              </w:rPr>
              <w:t xml:space="preserve">Ja, klinikken bør anmelde hændelsen til Datatilsynet.  </w:t>
            </w:r>
          </w:p>
          <w:p w14:paraId="3864721E" w14:textId="77777777" w:rsidR="00176382" w:rsidRPr="00682071" w:rsidRDefault="00176382" w:rsidP="00176382">
            <w:pPr>
              <w:rPr>
                <w:rFonts w:ascii="Arial" w:hAnsi="Arial" w:cs="Arial"/>
              </w:rPr>
            </w:pPr>
            <w:r w:rsidRPr="00682071">
              <w:rPr>
                <w:rFonts w:ascii="Arial" w:hAnsi="Arial" w:cs="Arial"/>
              </w:rPr>
              <w:t xml:space="preserve"> </w:t>
            </w:r>
          </w:p>
          <w:p w14:paraId="007AB8C7" w14:textId="77777777" w:rsidR="00176382" w:rsidRPr="00682071" w:rsidRDefault="00176382" w:rsidP="00176382">
            <w:pPr>
              <w:rPr>
                <w:rFonts w:ascii="Arial" w:hAnsi="Arial" w:cs="Arial"/>
              </w:rPr>
            </w:pPr>
            <w:r w:rsidRPr="00682071">
              <w:rPr>
                <w:rFonts w:ascii="Arial" w:hAnsi="Arial" w:cs="Arial"/>
              </w:rPr>
              <w:t xml:space="preserve">Dette skyldes bl.a., at uvedkommende potentielt kan have fået adgang til følsomme oplysninger vedrørende et stort antal personer, og at klinikken ikke vil have mulighed for at gendanne oplysningerne via deres </w:t>
            </w:r>
            <w:proofErr w:type="gramStart"/>
            <w:r w:rsidRPr="00682071">
              <w:rPr>
                <w:rFonts w:ascii="Arial" w:hAnsi="Arial" w:cs="Arial"/>
              </w:rPr>
              <w:t>backup kopi</w:t>
            </w:r>
            <w:proofErr w:type="gramEnd"/>
            <w:r w:rsidRPr="00682071">
              <w:rPr>
                <w:rFonts w:ascii="Arial" w:hAnsi="Arial" w:cs="Arial"/>
              </w:rPr>
              <w:t xml:space="preserve">.  </w:t>
            </w:r>
          </w:p>
          <w:p w14:paraId="7F0F4F87" w14:textId="77777777" w:rsidR="00176382" w:rsidRPr="00682071" w:rsidRDefault="00176382" w:rsidP="00176382">
            <w:pPr>
              <w:rPr>
                <w:rFonts w:ascii="Arial" w:hAnsi="Arial" w:cs="Arial"/>
              </w:rPr>
            </w:pPr>
            <w:r w:rsidRPr="00682071">
              <w:rPr>
                <w:rFonts w:ascii="Arial" w:hAnsi="Arial" w:cs="Arial"/>
              </w:rPr>
              <w:t xml:space="preserve"> </w:t>
            </w:r>
          </w:p>
          <w:p w14:paraId="096AF8D1" w14:textId="77777777" w:rsidR="00176382" w:rsidRPr="00682071" w:rsidRDefault="00176382" w:rsidP="00403E90">
            <w:pPr>
              <w:rPr>
                <w:rFonts w:ascii="Arial" w:hAnsi="Arial" w:cs="Arial"/>
              </w:rPr>
            </w:pPr>
            <w:r w:rsidRPr="00682071">
              <w:rPr>
                <w:rFonts w:ascii="Arial" w:hAnsi="Arial" w:cs="Arial"/>
              </w:rPr>
              <w:t xml:space="preserve">Klinikken bør underrette Datatilsynet uanset, </w:t>
            </w:r>
            <w:r w:rsidR="00403E90" w:rsidRPr="00682071">
              <w:rPr>
                <w:rFonts w:ascii="Arial" w:hAnsi="Arial" w:cs="Arial"/>
              </w:rPr>
              <w:t>om</w:t>
            </w:r>
            <w:r w:rsidRPr="00682071">
              <w:rPr>
                <w:rFonts w:ascii="Arial" w:hAnsi="Arial" w:cs="Arial"/>
              </w:rPr>
              <w:t xml:space="preserve"> det lykkes klinikken af få frigivet oplysningerne.  </w:t>
            </w:r>
          </w:p>
        </w:tc>
        <w:tc>
          <w:tcPr>
            <w:tcW w:w="3210" w:type="dxa"/>
          </w:tcPr>
          <w:p w14:paraId="67D811DC" w14:textId="77777777" w:rsidR="00176382" w:rsidRPr="00682071" w:rsidRDefault="00176382" w:rsidP="00176382">
            <w:pPr>
              <w:rPr>
                <w:rFonts w:ascii="Arial" w:hAnsi="Arial" w:cs="Arial"/>
              </w:rPr>
            </w:pPr>
            <w:r w:rsidRPr="00682071">
              <w:rPr>
                <w:rFonts w:ascii="Arial" w:hAnsi="Arial" w:cs="Arial"/>
              </w:rPr>
              <w:t xml:space="preserve">Ja, klinikken bør formentlig underrette de registrerede.  </w:t>
            </w:r>
          </w:p>
          <w:p w14:paraId="67321E01" w14:textId="77777777" w:rsidR="00176382" w:rsidRPr="00682071" w:rsidRDefault="00176382" w:rsidP="00176382">
            <w:pPr>
              <w:rPr>
                <w:rFonts w:ascii="Arial" w:hAnsi="Arial" w:cs="Arial"/>
              </w:rPr>
            </w:pPr>
            <w:r w:rsidRPr="00682071">
              <w:rPr>
                <w:rFonts w:ascii="Arial" w:hAnsi="Arial" w:cs="Arial"/>
              </w:rPr>
              <w:t xml:space="preserve"> </w:t>
            </w:r>
          </w:p>
          <w:p w14:paraId="08B5FA96" w14:textId="77777777" w:rsidR="00176382" w:rsidRPr="00682071" w:rsidRDefault="00176382" w:rsidP="00176382">
            <w:pPr>
              <w:rPr>
                <w:rFonts w:ascii="Arial" w:hAnsi="Arial" w:cs="Arial"/>
              </w:rPr>
            </w:pPr>
            <w:r w:rsidRPr="00682071">
              <w:rPr>
                <w:rFonts w:ascii="Arial" w:hAnsi="Arial" w:cs="Arial"/>
              </w:rPr>
              <w:t xml:space="preserve">Udover karakteren af de oplysninger, som er blevet ramt af angrebet, kan det muligvis få negative konsekvenser for de berørte personer, at oplysninger om et behandlingsforløb eller lign. hos klinikken ikke kan gendannes.  </w:t>
            </w:r>
          </w:p>
          <w:p w14:paraId="485B0763" w14:textId="77777777" w:rsidR="00176382" w:rsidRPr="00682071" w:rsidRDefault="00176382" w:rsidP="00646642">
            <w:pPr>
              <w:rPr>
                <w:rFonts w:ascii="Arial" w:hAnsi="Arial" w:cs="Arial"/>
              </w:rPr>
            </w:pPr>
          </w:p>
        </w:tc>
      </w:tr>
      <w:tr w:rsidR="00176382" w:rsidRPr="00682071" w14:paraId="3941C1B0" w14:textId="77777777" w:rsidTr="00176382">
        <w:tc>
          <w:tcPr>
            <w:tcW w:w="3209" w:type="dxa"/>
          </w:tcPr>
          <w:p w14:paraId="4B8491C5" w14:textId="77777777" w:rsidR="00176382" w:rsidRPr="00682071" w:rsidRDefault="00176382" w:rsidP="00176382">
            <w:pPr>
              <w:rPr>
                <w:rFonts w:ascii="Arial" w:hAnsi="Arial" w:cs="Arial"/>
              </w:rPr>
            </w:pPr>
            <w:r w:rsidRPr="00682071">
              <w:rPr>
                <w:rFonts w:ascii="Arial" w:hAnsi="Arial" w:cs="Arial"/>
              </w:rPr>
              <w:t xml:space="preserve">En HR-medarbejder sender ved en fejl lønsedler og ansættelseskontrakt til en forkert medarbejder i virksomheden.  </w:t>
            </w:r>
          </w:p>
          <w:p w14:paraId="37D8FF85" w14:textId="77777777" w:rsidR="00176382" w:rsidRPr="00682071" w:rsidRDefault="00176382" w:rsidP="00176382">
            <w:pPr>
              <w:rPr>
                <w:rFonts w:ascii="Arial" w:hAnsi="Arial" w:cs="Arial"/>
              </w:rPr>
            </w:pPr>
            <w:r w:rsidRPr="00682071">
              <w:rPr>
                <w:rFonts w:ascii="Arial" w:hAnsi="Arial" w:cs="Arial"/>
              </w:rPr>
              <w:t xml:space="preserve"> </w:t>
            </w:r>
          </w:p>
          <w:p w14:paraId="1ACF59B3" w14:textId="77777777" w:rsidR="00176382" w:rsidRPr="00682071" w:rsidRDefault="00176382" w:rsidP="00176382">
            <w:pPr>
              <w:rPr>
                <w:rFonts w:ascii="Arial" w:hAnsi="Arial" w:cs="Arial"/>
              </w:rPr>
            </w:pPr>
            <w:r w:rsidRPr="00682071">
              <w:rPr>
                <w:rFonts w:ascii="Arial" w:hAnsi="Arial" w:cs="Arial"/>
              </w:rPr>
              <w:t>Det aftales, at medarbejderen sletter dokumenterne med det samme efter at være blevet opmærksom på fejlen.</w:t>
            </w:r>
          </w:p>
        </w:tc>
        <w:tc>
          <w:tcPr>
            <w:tcW w:w="3209" w:type="dxa"/>
          </w:tcPr>
          <w:p w14:paraId="1FB0ED57" w14:textId="77777777" w:rsidR="00176382" w:rsidRPr="00682071" w:rsidRDefault="00176382" w:rsidP="00176382">
            <w:pPr>
              <w:rPr>
                <w:rFonts w:ascii="Arial" w:hAnsi="Arial" w:cs="Arial"/>
              </w:rPr>
            </w:pPr>
            <w:r w:rsidRPr="00682071">
              <w:rPr>
                <w:rFonts w:ascii="Arial" w:hAnsi="Arial" w:cs="Arial"/>
              </w:rPr>
              <w:t xml:space="preserve">Ikke nødvendigvis. </w:t>
            </w:r>
          </w:p>
          <w:p w14:paraId="618DD6C1" w14:textId="77777777" w:rsidR="00176382" w:rsidRPr="00682071" w:rsidRDefault="00176382" w:rsidP="00176382">
            <w:pPr>
              <w:rPr>
                <w:rFonts w:ascii="Arial" w:hAnsi="Arial" w:cs="Arial"/>
              </w:rPr>
            </w:pPr>
            <w:r w:rsidRPr="00682071">
              <w:rPr>
                <w:rFonts w:ascii="Arial" w:hAnsi="Arial" w:cs="Arial"/>
              </w:rPr>
              <w:t xml:space="preserve"> </w:t>
            </w:r>
          </w:p>
          <w:p w14:paraId="19749424" w14:textId="77777777" w:rsidR="00176382" w:rsidRPr="00682071" w:rsidRDefault="00176382" w:rsidP="00176382">
            <w:pPr>
              <w:rPr>
                <w:rFonts w:ascii="Arial" w:hAnsi="Arial" w:cs="Arial"/>
              </w:rPr>
            </w:pPr>
            <w:r w:rsidRPr="00682071">
              <w:rPr>
                <w:rFonts w:ascii="Arial" w:hAnsi="Arial" w:cs="Arial"/>
              </w:rPr>
              <w:t xml:space="preserve">Virksomheden kan vurdere, at bruddet ikke indebærer en risiko for den registrerede.  </w:t>
            </w:r>
          </w:p>
          <w:p w14:paraId="2863DD61" w14:textId="77777777" w:rsidR="00176382" w:rsidRPr="00682071" w:rsidRDefault="00176382" w:rsidP="00176382">
            <w:pPr>
              <w:rPr>
                <w:rFonts w:ascii="Arial" w:hAnsi="Arial" w:cs="Arial"/>
              </w:rPr>
            </w:pPr>
            <w:r w:rsidRPr="00682071">
              <w:rPr>
                <w:rFonts w:ascii="Arial" w:hAnsi="Arial" w:cs="Arial"/>
              </w:rPr>
              <w:t xml:space="preserve"> </w:t>
            </w:r>
          </w:p>
          <w:p w14:paraId="1A30A3D6" w14:textId="77777777" w:rsidR="00176382" w:rsidRPr="00682071" w:rsidRDefault="00176382" w:rsidP="00176382">
            <w:pPr>
              <w:rPr>
                <w:rFonts w:ascii="Arial" w:hAnsi="Arial" w:cs="Arial"/>
              </w:rPr>
            </w:pPr>
            <w:r w:rsidRPr="00682071">
              <w:rPr>
                <w:rFonts w:ascii="Arial" w:hAnsi="Arial" w:cs="Arial"/>
              </w:rPr>
              <w:t xml:space="preserve">Dette kan skyldes, at der er tale </w:t>
            </w:r>
            <w:proofErr w:type="gramStart"/>
            <w:r w:rsidRPr="00682071">
              <w:rPr>
                <w:rFonts w:ascii="Arial" w:hAnsi="Arial" w:cs="Arial"/>
              </w:rPr>
              <w:t>o</w:t>
            </w:r>
            <w:r w:rsidR="00403E90" w:rsidRPr="00682071">
              <w:rPr>
                <w:rFonts w:ascii="Arial" w:hAnsi="Arial" w:cs="Arial"/>
              </w:rPr>
              <w:t>m</w:t>
            </w:r>
            <w:r w:rsidRPr="00682071">
              <w:rPr>
                <w:rFonts w:ascii="Arial" w:hAnsi="Arial" w:cs="Arial"/>
              </w:rPr>
              <w:t xml:space="preserve">  et</w:t>
            </w:r>
            <w:proofErr w:type="gramEnd"/>
            <w:r w:rsidRPr="00682071">
              <w:rPr>
                <w:rFonts w:ascii="Arial" w:hAnsi="Arial" w:cs="Arial"/>
              </w:rPr>
              <w:t xml:space="preserve"> ”internt” brud    persondatasikkerheden og, at virksomheden har stor tillid til den pågældende medarbejder.</w:t>
            </w:r>
          </w:p>
        </w:tc>
        <w:tc>
          <w:tcPr>
            <w:tcW w:w="3210" w:type="dxa"/>
          </w:tcPr>
          <w:p w14:paraId="570A1B2A" w14:textId="77777777" w:rsidR="00176382" w:rsidRPr="00682071" w:rsidRDefault="00176382" w:rsidP="00176382">
            <w:pPr>
              <w:rPr>
                <w:rFonts w:ascii="Arial" w:hAnsi="Arial" w:cs="Arial"/>
              </w:rPr>
            </w:pPr>
            <w:r w:rsidRPr="00682071">
              <w:rPr>
                <w:rFonts w:ascii="Arial" w:hAnsi="Arial" w:cs="Arial"/>
              </w:rPr>
              <w:t xml:space="preserve">Hvis virksomheden vurderer, at der ikke er pligt til at underrette Datatilsynet, vil der heller ikke være pligt til at underrette den registrerede.  </w:t>
            </w:r>
          </w:p>
          <w:p w14:paraId="39C0EC9B" w14:textId="77777777" w:rsidR="00176382" w:rsidRPr="00682071" w:rsidRDefault="00176382" w:rsidP="00646642">
            <w:pPr>
              <w:rPr>
                <w:rFonts w:ascii="Arial" w:hAnsi="Arial" w:cs="Arial"/>
              </w:rPr>
            </w:pPr>
          </w:p>
        </w:tc>
      </w:tr>
      <w:tr w:rsidR="00176382" w:rsidRPr="00682071" w14:paraId="70B55BFB" w14:textId="77777777" w:rsidTr="00176382">
        <w:tc>
          <w:tcPr>
            <w:tcW w:w="3209" w:type="dxa"/>
          </w:tcPr>
          <w:p w14:paraId="2AB04C70" w14:textId="77777777" w:rsidR="00176382" w:rsidRPr="00682071" w:rsidRDefault="00176382" w:rsidP="00403E90">
            <w:pPr>
              <w:rPr>
                <w:rFonts w:ascii="Arial" w:hAnsi="Arial" w:cs="Arial"/>
              </w:rPr>
            </w:pPr>
            <w:r w:rsidRPr="00682071">
              <w:rPr>
                <w:rFonts w:ascii="Arial" w:hAnsi="Arial" w:cs="Arial"/>
              </w:rPr>
              <w:t xml:space="preserve">Et lille flyttefirma har alle oplysninger om deres medarbejdere liggende på en computer, der ikke har backup. Computeren bliver </w:t>
            </w:r>
            <w:r w:rsidRPr="00682071">
              <w:rPr>
                <w:rFonts w:ascii="Arial" w:hAnsi="Arial" w:cs="Arial"/>
              </w:rPr>
              <w:lastRenderedPageBreak/>
              <w:t xml:space="preserve">ramt af vandskade, og oplysningerne kan ikke gendannes. På computeren lå bl.a. oplysninger om flere medarbejderes helbredsoplysninger. </w:t>
            </w:r>
          </w:p>
        </w:tc>
        <w:tc>
          <w:tcPr>
            <w:tcW w:w="3209" w:type="dxa"/>
          </w:tcPr>
          <w:p w14:paraId="487133D0" w14:textId="77777777" w:rsidR="00176382" w:rsidRPr="00682071" w:rsidRDefault="00176382" w:rsidP="00176382">
            <w:pPr>
              <w:rPr>
                <w:rFonts w:ascii="Arial" w:hAnsi="Arial" w:cs="Arial"/>
              </w:rPr>
            </w:pPr>
            <w:r w:rsidRPr="00682071">
              <w:rPr>
                <w:rFonts w:ascii="Arial" w:hAnsi="Arial" w:cs="Arial"/>
              </w:rPr>
              <w:lastRenderedPageBreak/>
              <w:t xml:space="preserve">Hvis virksomheden kan sikre de registreredes rettigheder af anden vej end elektronisk, skal virksomheden ikke anmelde bruddet.  </w:t>
            </w:r>
          </w:p>
          <w:p w14:paraId="39DD8536" w14:textId="77777777" w:rsidR="00176382" w:rsidRPr="00682071" w:rsidRDefault="00176382" w:rsidP="00176382">
            <w:pPr>
              <w:rPr>
                <w:rFonts w:ascii="Arial" w:hAnsi="Arial" w:cs="Arial"/>
              </w:rPr>
            </w:pPr>
            <w:r w:rsidRPr="00682071">
              <w:rPr>
                <w:rFonts w:ascii="Arial" w:hAnsi="Arial" w:cs="Arial"/>
              </w:rPr>
              <w:lastRenderedPageBreak/>
              <w:t xml:space="preserve"> </w:t>
            </w:r>
          </w:p>
          <w:p w14:paraId="024C2982" w14:textId="77777777" w:rsidR="00176382" w:rsidRPr="00682071" w:rsidRDefault="00176382" w:rsidP="00176382">
            <w:pPr>
              <w:rPr>
                <w:rFonts w:ascii="Arial" w:hAnsi="Arial" w:cs="Arial"/>
              </w:rPr>
            </w:pPr>
            <w:r w:rsidRPr="00682071">
              <w:rPr>
                <w:rFonts w:ascii="Arial" w:hAnsi="Arial" w:cs="Arial"/>
              </w:rPr>
              <w:t xml:space="preserve">I modsat fald </w:t>
            </w:r>
            <w:r w:rsidR="00403E90" w:rsidRPr="00682071">
              <w:rPr>
                <w:rFonts w:ascii="Arial" w:hAnsi="Arial" w:cs="Arial"/>
              </w:rPr>
              <w:t xml:space="preserve">skal </w:t>
            </w:r>
            <w:r w:rsidRPr="00682071">
              <w:rPr>
                <w:rFonts w:ascii="Arial" w:hAnsi="Arial" w:cs="Arial"/>
              </w:rPr>
              <w:t xml:space="preserve">der ske anmeldelse til Datatilsynet.  </w:t>
            </w:r>
          </w:p>
          <w:p w14:paraId="3EE11F3E" w14:textId="77777777" w:rsidR="00176382" w:rsidRPr="00682071" w:rsidRDefault="00176382" w:rsidP="00646642">
            <w:pPr>
              <w:rPr>
                <w:rFonts w:ascii="Arial" w:hAnsi="Arial" w:cs="Arial"/>
              </w:rPr>
            </w:pPr>
          </w:p>
        </w:tc>
        <w:tc>
          <w:tcPr>
            <w:tcW w:w="3210" w:type="dxa"/>
          </w:tcPr>
          <w:p w14:paraId="5D785E26" w14:textId="77777777" w:rsidR="00176382" w:rsidRPr="00682071" w:rsidRDefault="00176382" w:rsidP="00176382">
            <w:pPr>
              <w:rPr>
                <w:rFonts w:ascii="Arial" w:hAnsi="Arial" w:cs="Arial"/>
              </w:rPr>
            </w:pPr>
            <w:r w:rsidRPr="00682071">
              <w:rPr>
                <w:rFonts w:ascii="Arial" w:hAnsi="Arial" w:cs="Arial"/>
              </w:rPr>
              <w:lastRenderedPageBreak/>
              <w:t xml:space="preserve">Idet den enkelte medarbejder skal kunne varetage sine interesser, skal der ske underretning af medarbejderne. </w:t>
            </w:r>
          </w:p>
          <w:p w14:paraId="6DC0B35D" w14:textId="77777777" w:rsidR="00176382" w:rsidRPr="00682071" w:rsidRDefault="00176382" w:rsidP="00176382">
            <w:pPr>
              <w:rPr>
                <w:rFonts w:ascii="Arial" w:hAnsi="Arial" w:cs="Arial"/>
              </w:rPr>
            </w:pPr>
            <w:r w:rsidRPr="00682071">
              <w:rPr>
                <w:rFonts w:ascii="Arial" w:hAnsi="Arial" w:cs="Arial"/>
              </w:rPr>
              <w:lastRenderedPageBreak/>
              <w:t xml:space="preserve"> </w:t>
            </w:r>
          </w:p>
          <w:p w14:paraId="14ADF5A4" w14:textId="77777777" w:rsidR="00176382" w:rsidRPr="00682071" w:rsidRDefault="00176382" w:rsidP="00176382">
            <w:pPr>
              <w:rPr>
                <w:rFonts w:ascii="Arial" w:hAnsi="Arial" w:cs="Arial"/>
              </w:rPr>
            </w:pPr>
            <w:r w:rsidRPr="00682071">
              <w:rPr>
                <w:rFonts w:ascii="Arial" w:hAnsi="Arial" w:cs="Arial"/>
              </w:rPr>
              <w:t>Det er den enkelte medarbejder der er nærmest til vurdere, om det, der er gået tabt, er blevet reetableret fyldestgørende.</w:t>
            </w:r>
          </w:p>
        </w:tc>
      </w:tr>
      <w:tr w:rsidR="00176382" w:rsidRPr="00682071" w14:paraId="31249BC5" w14:textId="77777777" w:rsidTr="00176382">
        <w:tc>
          <w:tcPr>
            <w:tcW w:w="3209" w:type="dxa"/>
          </w:tcPr>
          <w:p w14:paraId="7896B05B" w14:textId="77777777" w:rsidR="00176382" w:rsidRPr="00682071" w:rsidRDefault="00176382" w:rsidP="00176382">
            <w:pPr>
              <w:rPr>
                <w:rFonts w:ascii="Arial" w:hAnsi="Arial" w:cs="Arial"/>
              </w:rPr>
            </w:pPr>
            <w:r w:rsidRPr="00682071">
              <w:rPr>
                <w:rFonts w:ascii="Arial" w:hAnsi="Arial" w:cs="Arial"/>
              </w:rPr>
              <w:lastRenderedPageBreak/>
              <w:t xml:space="preserve">En virksomhed har alle oplysninger om deres medarbejdere, inkl. personnumre og helbredsoplysninger, liggende på en computer. Computeren stjæles under et indbrud.  Oplysningerne er ikke krypterede, men der skal almindeligt kodeord til for at låse computeren op. </w:t>
            </w:r>
          </w:p>
          <w:p w14:paraId="47F87CC8" w14:textId="77777777" w:rsidR="00176382" w:rsidRPr="00682071" w:rsidRDefault="00176382" w:rsidP="00646642">
            <w:pPr>
              <w:rPr>
                <w:rFonts w:ascii="Arial" w:hAnsi="Arial" w:cs="Arial"/>
              </w:rPr>
            </w:pPr>
          </w:p>
        </w:tc>
        <w:tc>
          <w:tcPr>
            <w:tcW w:w="3209" w:type="dxa"/>
          </w:tcPr>
          <w:p w14:paraId="22D7E9E3" w14:textId="77777777" w:rsidR="00176382" w:rsidRPr="00682071" w:rsidRDefault="00176382" w:rsidP="00176382">
            <w:pPr>
              <w:rPr>
                <w:rFonts w:ascii="Arial" w:hAnsi="Arial" w:cs="Arial"/>
              </w:rPr>
            </w:pPr>
            <w:r w:rsidRPr="00682071">
              <w:rPr>
                <w:rFonts w:ascii="Arial" w:hAnsi="Arial" w:cs="Arial"/>
              </w:rPr>
              <w:t xml:space="preserve">Ja, virksomheden skal anmelde bruddet til Datatilsynet. </w:t>
            </w:r>
          </w:p>
          <w:p w14:paraId="50346C26" w14:textId="77777777" w:rsidR="00176382" w:rsidRPr="00682071" w:rsidRDefault="00176382" w:rsidP="00176382">
            <w:pPr>
              <w:rPr>
                <w:rFonts w:ascii="Arial" w:hAnsi="Arial" w:cs="Arial"/>
              </w:rPr>
            </w:pPr>
            <w:r w:rsidRPr="00682071">
              <w:rPr>
                <w:rFonts w:ascii="Arial" w:hAnsi="Arial" w:cs="Arial"/>
              </w:rPr>
              <w:t xml:space="preserve"> </w:t>
            </w:r>
          </w:p>
          <w:p w14:paraId="0625E0F9" w14:textId="77777777" w:rsidR="00176382" w:rsidRPr="00682071" w:rsidRDefault="00176382" w:rsidP="00403E90">
            <w:pPr>
              <w:rPr>
                <w:rFonts w:ascii="Arial" w:hAnsi="Arial" w:cs="Arial"/>
              </w:rPr>
            </w:pPr>
            <w:r w:rsidRPr="00682071">
              <w:rPr>
                <w:rFonts w:ascii="Arial" w:hAnsi="Arial" w:cs="Arial"/>
              </w:rPr>
              <w:t xml:space="preserve">Dette skyldes, at der er tale om følsomme og fortrolige personoplysninger om medarbejderne og, at der med de af virksomheden beskedne sikkerhedsforanstaltninger er en risiko for, at uvedkommende får adgang til personoplysningerne. </w:t>
            </w:r>
          </w:p>
        </w:tc>
        <w:tc>
          <w:tcPr>
            <w:tcW w:w="3210" w:type="dxa"/>
          </w:tcPr>
          <w:p w14:paraId="76346AE6" w14:textId="77777777" w:rsidR="00176382" w:rsidRPr="00682071" w:rsidRDefault="00176382" w:rsidP="00176382">
            <w:pPr>
              <w:rPr>
                <w:rFonts w:ascii="Arial" w:hAnsi="Arial" w:cs="Arial"/>
              </w:rPr>
            </w:pPr>
            <w:r w:rsidRPr="00682071">
              <w:rPr>
                <w:rFonts w:ascii="Arial" w:hAnsi="Arial" w:cs="Arial"/>
              </w:rPr>
              <w:t xml:space="preserve">Ja, virksomheden bør underrette hver medarbejder om bruddet, idet der er stor sandsynlighed for, at oplysningerne kan blive kompromitteret. </w:t>
            </w:r>
          </w:p>
          <w:p w14:paraId="53F5ED78" w14:textId="77777777" w:rsidR="00176382" w:rsidRPr="00682071" w:rsidRDefault="00176382" w:rsidP="00176382">
            <w:pPr>
              <w:rPr>
                <w:rFonts w:ascii="Arial" w:hAnsi="Arial" w:cs="Arial"/>
              </w:rPr>
            </w:pPr>
            <w:r w:rsidRPr="00682071">
              <w:rPr>
                <w:rFonts w:ascii="Arial" w:hAnsi="Arial" w:cs="Arial"/>
              </w:rPr>
              <w:t xml:space="preserve"> </w:t>
            </w:r>
          </w:p>
          <w:p w14:paraId="1CA3EE6F" w14:textId="77777777" w:rsidR="00176382" w:rsidRPr="00682071" w:rsidRDefault="00176382" w:rsidP="00176382">
            <w:pPr>
              <w:rPr>
                <w:rFonts w:ascii="Arial" w:hAnsi="Arial" w:cs="Arial"/>
              </w:rPr>
            </w:pPr>
            <w:r w:rsidRPr="00682071">
              <w:rPr>
                <w:rFonts w:ascii="Arial" w:hAnsi="Arial" w:cs="Arial"/>
              </w:rPr>
              <w:t xml:space="preserve">Den registrerede skal således have mulighed for at træffe de fornødne forholdsregler </w:t>
            </w:r>
          </w:p>
          <w:p w14:paraId="57FEE9FF" w14:textId="77777777" w:rsidR="00176382" w:rsidRPr="00682071" w:rsidRDefault="00176382" w:rsidP="00176382">
            <w:pPr>
              <w:rPr>
                <w:rFonts w:ascii="Arial" w:hAnsi="Arial" w:cs="Arial"/>
              </w:rPr>
            </w:pPr>
            <w:r w:rsidRPr="00682071">
              <w:rPr>
                <w:rFonts w:ascii="Arial" w:hAnsi="Arial" w:cs="Arial"/>
              </w:rPr>
              <w:t xml:space="preserve"> </w:t>
            </w:r>
          </w:p>
          <w:p w14:paraId="6963B506" w14:textId="77777777" w:rsidR="00176382" w:rsidRPr="00682071" w:rsidRDefault="00176382" w:rsidP="00646642">
            <w:pPr>
              <w:rPr>
                <w:rFonts w:ascii="Arial" w:hAnsi="Arial" w:cs="Arial"/>
              </w:rPr>
            </w:pPr>
          </w:p>
        </w:tc>
      </w:tr>
    </w:tbl>
    <w:p w14:paraId="6478A051" w14:textId="77777777" w:rsidR="00176382" w:rsidRPr="00682071" w:rsidRDefault="00176382" w:rsidP="00646642">
      <w:pPr>
        <w:rPr>
          <w:rFonts w:ascii="Arial" w:hAnsi="Arial" w:cs="Arial"/>
        </w:rPr>
      </w:pPr>
    </w:p>
    <w:p w14:paraId="02AB35C5" w14:textId="77777777" w:rsidR="00176382" w:rsidRPr="00682071" w:rsidRDefault="00176382" w:rsidP="00646642">
      <w:pPr>
        <w:rPr>
          <w:rFonts w:ascii="Arial" w:hAnsi="Arial" w:cs="Arial"/>
        </w:rPr>
      </w:pPr>
    </w:p>
    <w:p w14:paraId="7D3A8115" w14:textId="77777777" w:rsidR="00646642" w:rsidRPr="00682071" w:rsidRDefault="00176382" w:rsidP="00646642">
      <w:pPr>
        <w:rPr>
          <w:rFonts w:ascii="Arial" w:hAnsi="Arial" w:cs="Arial"/>
        </w:rPr>
      </w:pPr>
      <w:r w:rsidRPr="00682071">
        <w:rPr>
          <w:rFonts w:ascii="Arial" w:hAnsi="Arial" w:cs="Arial"/>
        </w:rPr>
        <w:br/>
      </w:r>
      <w:r w:rsidRPr="00682071">
        <w:rPr>
          <w:rFonts w:ascii="Arial" w:hAnsi="Arial" w:cs="Arial"/>
        </w:rPr>
        <w:br/>
      </w:r>
    </w:p>
    <w:sectPr w:rsidR="00646642" w:rsidRPr="00682071">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8381" w14:textId="77777777" w:rsidR="00B36BA1" w:rsidRDefault="00B36BA1" w:rsidP="004E286E">
      <w:r>
        <w:separator/>
      </w:r>
    </w:p>
  </w:endnote>
  <w:endnote w:type="continuationSeparator" w:id="0">
    <w:p w14:paraId="0362665B" w14:textId="77777777" w:rsidR="00B36BA1" w:rsidRDefault="00B36BA1" w:rsidP="004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961D" w14:textId="77777777" w:rsidR="004E286E" w:rsidRDefault="0007055F">
    <w:pPr>
      <w:pStyle w:val="Sidefod"/>
    </w:pPr>
    <w:r>
      <w:rPr>
        <w:noProof/>
        <w:lang w:val="en-US"/>
      </w:rPr>
      <w:drawing>
        <wp:anchor distT="0" distB="0" distL="114300" distR="114300" simplePos="0" relativeHeight="251661312" behindDoc="0" locked="0" layoutInCell="1" allowOverlap="1" wp14:anchorId="1C7D30F3" wp14:editId="09CBA9EE">
          <wp:simplePos x="0" y="0"/>
          <wp:positionH relativeFrom="margin">
            <wp:posOffset>4937125</wp:posOffset>
          </wp:positionH>
          <wp:positionV relativeFrom="margin">
            <wp:posOffset>8760460</wp:posOffset>
          </wp:positionV>
          <wp:extent cx="1524635" cy="54038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6542C628" wp14:editId="4DB8DD4C">
              <wp:simplePos x="542925" y="9858375"/>
              <wp:positionH relativeFrom="margin">
                <wp:align>center</wp:align>
              </wp:positionH>
              <wp:positionV relativeFrom="margin">
                <wp:align>bottom</wp:align>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7387AA4" id="Lige forbindelse 4" o:spid="_x0000_s1026" style="position:absolute;z-index:25166028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strokecolor="#c00000" strokeweight="1pt">
              <w10:wrap type="square" anchorx="margin" anchory="margin"/>
            </v:line>
          </w:pict>
        </mc:Fallback>
      </mc:AlternateContent>
    </w:r>
  </w:p>
  <w:p w14:paraId="759E8E34" w14:textId="77777777" w:rsidR="004E286E" w:rsidRDefault="004E28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15DE9" w14:textId="77777777" w:rsidR="00B36BA1" w:rsidRDefault="00B36BA1" w:rsidP="004E286E">
      <w:r>
        <w:separator/>
      </w:r>
    </w:p>
  </w:footnote>
  <w:footnote w:type="continuationSeparator" w:id="0">
    <w:p w14:paraId="439EF2A8" w14:textId="77777777" w:rsidR="00B36BA1" w:rsidRDefault="00B36BA1" w:rsidP="004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45D0" w14:textId="77777777" w:rsidR="004E286E" w:rsidRPr="00F7321A" w:rsidRDefault="001A2ED8" w:rsidP="00F7321A">
    <w:pPr>
      <w:jc w:val="right"/>
      <w:rPr>
        <w:rFonts w:cstheme="minorHAnsi"/>
        <w:b/>
      </w:rPr>
    </w:pPr>
    <w:r>
      <w:rPr>
        <w:rFonts w:cstheme="minorHAnsi"/>
        <w:b/>
      </w:rPr>
      <w:t>Mærkesag</w:t>
    </w:r>
    <w:r w:rsidR="006E7D3A">
      <w:rPr>
        <w:rFonts w:cstheme="minorHAnsi"/>
        <w:b/>
      </w:rPr>
      <w:t xml:space="preserve"> </w:t>
    </w:r>
    <w:r w:rsidR="00854F51">
      <w:rPr>
        <w:rFonts w:cstheme="minorHAnsi"/>
        <w:b/>
      </w:rPr>
      <w:t>–</w:t>
    </w:r>
    <w:r w:rsidR="006E7D3A">
      <w:rPr>
        <w:rFonts w:cstheme="minorHAnsi"/>
        <w:b/>
      </w:rPr>
      <w:t xml:space="preserve"> </w:t>
    </w:r>
    <w:r>
      <w:rPr>
        <w:rFonts w:cstheme="minorHAnsi"/>
      </w:rPr>
      <w:t>Databeskyttelse og privacy</w:t>
    </w:r>
    <w:r w:rsidR="00F7321A">
      <w:rPr>
        <w:rFonts w:cstheme="minorHAnsi"/>
        <w:b/>
      </w:rPr>
      <w:br/>
    </w:r>
    <w:r w:rsidR="004E286E">
      <w:rPr>
        <w:noProof/>
        <w:lang w:val="en-US"/>
      </w:rPr>
      <mc:AlternateContent>
        <mc:Choice Requires="wps">
          <w:drawing>
            <wp:anchor distT="0" distB="0" distL="114300" distR="114300" simplePos="0" relativeHeight="251659264" behindDoc="0" locked="0" layoutInCell="1" allowOverlap="1" wp14:anchorId="1B4890C2" wp14:editId="49E62098">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54852E3" id="Lige forbindelse 1" o:spid="_x0000_s1026"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842080"/>
    <w:multiLevelType w:val="hybridMultilevel"/>
    <w:tmpl w:val="0C02ECF6"/>
    <w:lvl w:ilvl="0" w:tplc="844025A8">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B15FF2"/>
    <w:multiLevelType w:val="hybridMultilevel"/>
    <w:tmpl w:val="B22A86BA"/>
    <w:lvl w:ilvl="0" w:tplc="380ED3B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EDA62D9"/>
    <w:multiLevelType w:val="hybridMultilevel"/>
    <w:tmpl w:val="47E81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9549F"/>
    <w:multiLevelType w:val="hybridMultilevel"/>
    <w:tmpl w:val="0C300E34"/>
    <w:lvl w:ilvl="0" w:tplc="2056C7F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CF1F43"/>
    <w:multiLevelType w:val="hybridMultilevel"/>
    <w:tmpl w:val="F852FA78"/>
    <w:lvl w:ilvl="0" w:tplc="90102076">
      <w:start w:val="1"/>
      <w:numFmt w:val="bullet"/>
      <w:lvlText w:val=""/>
      <w:lvlJc w:val="left"/>
      <w:pPr>
        <w:ind w:left="720" w:hanging="360"/>
      </w:pPr>
      <w:rPr>
        <w:rFonts w:ascii="Symbol" w:hAnsi="Symbol" w:hint="default"/>
        <w:color w:val="C21919"/>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296199"/>
    <w:multiLevelType w:val="hybridMultilevel"/>
    <w:tmpl w:val="0F78D6C2"/>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394CA2"/>
    <w:multiLevelType w:val="hybridMultilevel"/>
    <w:tmpl w:val="3BE0681A"/>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5B0AF8"/>
    <w:multiLevelType w:val="hybridMultilevel"/>
    <w:tmpl w:val="1A0A6B90"/>
    <w:lvl w:ilvl="0" w:tplc="33AEFBE4">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7655FF1"/>
    <w:multiLevelType w:val="hybridMultilevel"/>
    <w:tmpl w:val="CBD677B0"/>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1B19C2"/>
    <w:multiLevelType w:val="hybridMultilevel"/>
    <w:tmpl w:val="3DB4AF90"/>
    <w:lvl w:ilvl="0" w:tplc="CBF2B9E2">
      <w:start w:val="1"/>
      <w:numFmt w:val="bullet"/>
      <w:lvlText w:val=""/>
      <w:lvlJc w:val="left"/>
      <w:pPr>
        <w:ind w:left="720" w:hanging="360"/>
      </w:pPr>
      <w:rPr>
        <w:rFonts w:ascii="Symbol" w:hAnsi="Symbol" w:hint="default"/>
        <w:color w:val="C21919"/>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C1545A"/>
    <w:multiLevelType w:val="hybridMultilevel"/>
    <w:tmpl w:val="BEF42550"/>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B2D1C2F"/>
    <w:multiLevelType w:val="hybridMultilevel"/>
    <w:tmpl w:val="C77ED9C8"/>
    <w:lvl w:ilvl="0" w:tplc="33AEFBE4">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F0456D"/>
    <w:multiLevelType w:val="hybridMultilevel"/>
    <w:tmpl w:val="3CA02200"/>
    <w:lvl w:ilvl="0" w:tplc="E69EDC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3881507"/>
    <w:multiLevelType w:val="hybridMultilevel"/>
    <w:tmpl w:val="B7F49A16"/>
    <w:lvl w:ilvl="0" w:tplc="B21693A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63C4F18"/>
    <w:multiLevelType w:val="hybridMultilevel"/>
    <w:tmpl w:val="33D4D8F4"/>
    <w:lvl w:ilvl="0" w:tplc="33AEFBE4">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cs="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cs="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cs="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30"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8DE53A9"/>
    <w:multiLevelType w:val="hybridMultilevel"/>
    <w:tmpl w:val="5FD28D20"/>
    <w:lvl w:ilvl="0" w:tplc="33AEFBE4">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10F48"/>
    <w:multiLevelType w:val="hybridMultilevel"/>
    <w:tmpl w:val="F3A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B7132"/>
    <w:multiLevelType w:val="hybridMultilevel"/>
    <w:tmpl w:val="C6AEA264"/>
    <w:lvl w:ilvl="0" w:tplc="C30638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4B77061"/>
    <w:multiLevelType w:val="hybridMultilevel"/>
    <w:tmpl w:val="2772A3E8"/>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CF428F"/>
    <w:multiLevelType w:val="hybridMultilevel"/>
    <w:tmpl w:val="C924276A"/>
    <w:lvl w:ilvl="0" w:tplc="EB90A356">
      <w:numFmt w:val="bullet"/>
      <w:lvlText w:val="-"/>
      <w:lvlJc w:val="left"/>
      <w:pPr>
        <w:ind w:left="750" w:hanging="39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6E340EF"/>
    <w:multiLevelType w:val="hybridMultilevel"/>
    <w:tmpl w:val="95706E36"/>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8"/>
  </w:num>
  <w:num w:numId="4">
    <w:abstractNumId w:val="1"/>
  </w:num>
  <w:num w:numId="5">
    <w:abstractNumId w:val="21"/>
  </w:num>
  <w:num w:numId="6">
    <w:abstractNumId w:val="39"/>
  </w:num>
  <w:num w:numId="7">
    <w:abstractNumId w:val="33"/>
  </w:num>
  <w:num w:numId="8">
    <w:abstractNumId w:val="35"/>
  </w:num>
  <w:num w:numId="9">
    <w:abstractNumId w:val="18"/>
  </w:num>
  <w:num w:numId="10">
    <w:abstractNumId w:val="29"/>
  </w:num>
  <w:num w:numId="11">
    <w:abstractNumId w:val="36"/>
  </w:num>
  <w:num w:numId="12">
    <w:abstractNumId w:val="30"/>
  </w:num>
  <w:num w:numId="13">
    <w:abstractNumId w:val="38"/>
  </w:num>
  <w:num w:numId="14">
    <w:abstractNumId w:val="6"/>
  </w:num>
  <w:num w:numId="15">
    <w:abstractNumId w:val="26"/>
  </w:num>
  <w:num w:numId="16">
    <w:abstractNumId w:val="3"/>
  </w:num>
  <w:num w:numId="17">
    <w:abstractNumId w:val="15"/>
  </w:num>
  <w:num w:numId="18">
    <w:abstractNumId w:val="20"/>
  </w:num>
  <w:num w:numId="19">
    <w:abstractNumId w:val="13"/>
  </w:num>
  <w:num w:numId="20">
    <w:abstractNumId w:val="0"/>
  </w:num>
  <w:num w:numId="21">
    <w:abstractNumId w:val="0"/>
  </w:num>
  <w:num w:numId="22">
    <w:abstractNumId w:val="16"/>
  </w:num>
  <w:num w:numId="23">
    <w:abstractNumId w:val="17"/>
  </w:num>
  <w:num w:numId="24">
    <w:abstractNumId w:val="24"/>
  </w:num>
  <w:num w:numId="25">
    <w:abstractNumId w:val="19"/>
  </w:num>
  <w:num w:numId="26">
    <w:abstractNumId w:val="10"/>
  </w:num>
  <w:num w:numId="27">
    <w:abstractNumId w:val="2"/>
  </w:num>
  <w:num w:numId="28">
    <w:abstractNumId w:val="11"/>
  </w:num>
  <w:num w:numId="29">
    <w:abstractNumId w:val="9"/>
  </w:num>
  <w:num w:numId="30">
    <w:abstractNumId w:val="37"/>
  </w:num>
  <w:num w:numId="31">
    <w:abstractNumId w:val="34"/>
  </w:num>
  <w:num w:numId="32">
    <w:abstractNumId w:val="14"/>
  </w:num>
  <w:num w:numId="33">
    <w:abstractNumId w:val="25"/>
  </w:num>
  <w:num w:numId="34">
    <w:abstractNumId w:val="22"/>
  </w:num>
  <w:num w:numId="35">
    <w:abstractNumId w:val="4"/>
  </w:num>
  <w:num w:numId="36">
    <w:abstractNumId w:val="32"/>
  </w:num>
  <w:num w:numId="37">
    <w:abstractNumId w:val="23"/>
  </w:num>
  <w:num w:numId="38">
    <w:abstractNumId w:val="27"/>
  </w:num>
  <w:num w:numId="39">
    <w:abstractNumId w:val="31"/>
  </w:num>
  <w:num w:numId="40">
    <w:abstractNumId w:val="12"/>
  </w:num>
  <w:num w:numId="4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6E"/>
    <w:rsid w:val="00001AC6"/>
    <w:rsid w:val="0001544C"/>
    <w:rsid w:val="00026892"/>
    <w:rsid w:val="00063B53"/>
    <w:rsid w:val="00063EF4"/>
    <w:rsid w:val="00064390"/>
    <w:rsid w:val="0007055F"/>
    <w:rsid w:val="000847B3"/>
    <w:rsid w:val="00090C81"/>
    <w:rsid w:val="00097110"/>
    <w:rsid w:val="00097BF4"/>
    <w:rsid w:val="000B03FF"/>
    <w:rsid w:val="000B4561"/>
    <w:rsid w:val="00105D06"/>
    <w:rsid w:val="00122F06"/>
    <w:rsid w:val="001360B6"/>
    <w:rsid w:val="001627BE"/>
    <w:rsid w:val="00176382"/>
    <w:rsid w:val="00184729"/>
    <w:rsid w:val="001A2ED8"/>
    <w:rsid w:val="001A3C48"/>
    <w:rsid w:val="001B6936"/>
    <w:rsid w:val="001C2186"/>
    <w:rsid w:val="001C630A"/>
    <w:rsid w:val="001E6028"/>
    <w:rsid w:val="00205D48"/>
    <w:rsid w:val="00215335"/>
    <w:rsid w:val="00232B8D"/>
    <w:rsid w:val="00240EB1"/>
    <w:rsid w:val="002546AC"/>
    <w:rsid w:val="00264638"/>
    <w:rsid w:val="002707C8"/>
    <w:rsid w:val="00295A4D"/>
    <w:rsid w:val="002D28D3"/>
    <w:rsid w:val="002D6859"/>
    <w:rsid w:val="002D7341"/>
    <w:rsid w:val="002E0058"/>
    <w:rsid w:val="002F2FED"/>
    <w:rsid w:val="002F6C7E"/>
    <w:rsid w:val="00380C1A"/>
    <w:rsid w:val="003A2DF4"/>
    <w:rsid w:val="003C61C0"/>
    <w:rsid w:val="003F6E26"/>
    <w:rsid w:val="00403E90"/>
    <w:rsid w:val="00413091"/>
    <w:rsid w:val="004173BA"/>
    <w:rsid w:val="00420523"/>
    <w:rsid w:val="00424758"/>
    <w:rsid w:val="0042532D"/>
    <w:rsid w:val="00432A58"/>
    <w:rsid w:val="00433577"/>
    <w:rsid w:val="00446DE6"/>
    <w:rsid w:val="00460C0C"/>
    <w:rsid w:val="00463BA9"/>
    <w:rsid w:val="004840A4"/>
    <w:rsid w:val="00485B13"/>
    <w:rsid w:val="004D531B"/>
    <w:rsid w:val="004E286E"/>
    <w:rsid w:val="004E5FDB"/>
    <w:rsid w:val="004E653B"/>
    <w:rsid w:val="00523F5F"/>
    <w:rsid w:val="005267DD"/>
    <w:rsid w:val="005430F7"/>
    <w:rsid w:val="005528E4"/>
    <w:rsid w:val="00552D78"/>
    <w:rsid w:val="00556D1B"/>
    <w:rsid w:val="00577AE9"/>
    <w:rsid w:val="00585B6E"/>
    <w:rsid w:val="005B6BD9"/>
    <w:rsid w:val="005D4003"/>
    <w:rsid w:val="00614736"/>
    <w:rsid w:val="00620856"/>
    <w:rsid w:val="00646642"/>
    <w:rsid w:val="00682071"/>
    <w:rsid w:val="00684298"/>
    <w:rsid w:val="0069431B"/>
    <w:rsid w:val="006A5D4C"/>
    <w:rsid w:val="006B2071"/>
    <w:rsid w:val="006D6DBB"/>
    <w:rsid w:val="006E76B5"/>
    <w:rsid w:val="006E7D3A"/>
    <w:rsid w:val="00701029"/>
    <w:rsid w:val="00711808"/>
    <w:rsid w:val="00775423"/>
    <w:rsid w:val="0078385E"/>
    <w:rsid w:val="00791CC7"/>
    <w:rsid w:val="00793539"/>
    <w:rsid w:val="007B0043"/>
    <w:rsid w:val="007F5DC1"/>
    <w:rsid w:val="00825FEE"/>
    <w:rsid w:val="00851730"/>
    <w:rsid w:val="00854F51"/>
    <w:rsid w:val="0087276E"/>
    <w:rsid w:val="008771F2"/>
    <w:rsid w:val="00891288"/>
    <w:rsid w:val="008A7043"/>
    <w:rsid w:val="008B16C1"/>
    <w:rsid w:val="008C12DD"/>
    <w:rsid w:val="008D0F64"/>
    <w:rsid w:val="008E41BF"/>
    <w:rsid w:val="00951D44"/>
    <w:rsid w:val="009709A7"/>
    <w:rsid w:val="009B44DB"/>
    <w:rsid w:val="009C602A"/>
    <w:rsid w:val="009D2080"/>
    <w:rsid w:val="00A02422"/>
    <w:rsid w:val="00A151B1"/>
    <w:rsid w:val="00A15600"/>
    <w:rsid w:val="00A32348"/>
    <w:rsid w:val="00A91575"/>
    <w:rsid w:val="00AA028D"/>
    <w:rsid w:val="00AB29DF"/>
    <w:rsid w:val="00AB4D8D"/>
    <w:rsid w:val="00AC6A32"/>
    <w:rsid w:val="00AF4DB7"/>
    <w:rsid w:val="00AF658F"/>
    <w:rsid w:val="00B3652A"/>
    <w:rsid w:val="00B36BA1"/>
    <w:rsid w:val="00B3722C"/>
    <w:rsid w:val="00B457F6"/>
    <w:rsid w:val="00B53BBD"/>
    <w:rsid w:val="00B57C7F"/>
    <w:rsid w:val="00B6352C"/>
    <w:rsid w:val="00B85FBE"/>
    <w:rsid w:val="00B90C8C"/>
    <w:rsid w:val="00BE6ABC"/>
    <w:rsid w:val="00BF65FB"/>
    <w:rsid w:val="00C10BCB"/>
    <w:rsid w:val="00C14BD0"/>
    <w:rsid w:val="00C27937"/>
    <w:rsid w:val="00C53193"/>
    <w:rsid w:val="00C74A4A"/>
    <w:rsid w:val="00CA2566"/>
    <w:rsid w:val="00CB113A"/>
    <w:rsid w:val="00CD7EEF"/>
    <w:rsid w:val="00CF5F4C"/>
    <w:rsid w:val="00D2593C"/>
    <w:rsid w:val="00D300A6"/>
    <w:rsid w:val="00D66FD2"/>
    <w:rsid w:val="00DB1D92"/>
    <w:rsid w:val="00DE5E72"/>
    <w:rsid w:val="00E040EE"/>
    <w:rsid w:val="00E35EB1"/>
    <w:rsid w:val="00E35EB9"/>
    <w:rsid w:val="00E80D2D"/>
    <w:rsid w:val="00E86CE5"/>
    <w:rsid w:val="00EB00B4"/>
    <w:rsid w:val="00EB3DE8"/>
    <w:rsid w:val="00EC37BE"/>
    <w:rsid w:val="00EC5BEC"/>
    <w:rsid w:val="00ED0546"/>
    <w:rsid w:val="00F05BFE"/>
    <w:rsid w:val="00F10607"/>
    <w:rsid w:val="00F10C9F"/>
    <w:rsid w:val="00F16376"/>
    <w:rsid w:val="00F413CF"/>
    <w:rsid w:val="00F473A2"/>
    <w:rsid w:val="00F7321A"/>
    <w:rsid w:val="00FA46C4"/>
    <w:rsid w:val="00FD53B2"/>
    <w:rsid w:val="00FE56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80301"/>
  <w15:docId w15:val="{E7D65424-F3EC-4E93-AD6C-4F28FEEE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1F2"/>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3F6E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3F6E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286E"/>
    <w:pPr>
      <w:tabs>
        <w:tab w:val="center" w:pos="4819"/>
        <w:tab w:val="right" w:pos="9638"/>
      </w:tabs>
    </w:pPr>
  </w:style>
  <w:style w:type="character" w:customStyle="1" w:styleId="SidehovedTegn">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customStyle="1" w:styleId="SidefodTegn">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customStyle="1" w:styleId="KommentartekstTegn">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customStyle="1" w:styleId="KommentaremneTegn">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customStyle="1" w:styleId="Overskrift3Tegn">
    <w:name w:val="Overskrift 3 Tegn"/>
    <w:basedOn w:val="Standardskrifttypeiafsnit"/>
    <w:link w:val="Overskrift3"/>
    <w:uiPriority w:val="9"/>
    <w:semiHidden/>
    <w:rsid w:val="00097110"/>
    <w:rPr>
      <w:rFonts w:ascii="Calibri Light" w:hAnsi="Calibri Light" w:cs="Times New Roman"/>
      <w:b/>
      <w:bCs/>
      <w:color w:val="5B9BD5"/>
      <w:lang w:eastAsia="en-GB"/>
    </w:rPr>
  </w:style>
  <w:style w:type="character" w:customStyle="1" w:styleId="Overskrift1Tegn">
    <w:name w:val="Overskrift 1 Tegn"/>
    <w:basedOn w:val="Standardskrifttypeiafsnit"/>
    <w:link w:val="Overskrift1"/>
    <w:uiPriority w:val="9"/>
    <w:rsid w:val="003F6E2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3F6E26"/>
    <w:rPr>
      <w:rFonts w:asciiTheme="majorHAnsi" w:eastAsiaTheme="majorEastAsia" w:hAnsiTheme="majorHAnsi" w:cstheme="majorBidi"/>
      <w:color w:val="365F91" w:themeColor="accent1" w:themeShade="BF"/>
      <w:sz w:val="26"/>
      <w:szCs w:val="26"/>
    </w:rPr>
  </w:style>
  <w:style w:type="table" w:styleId="Tabel-Gitter">
    <w:name w:val="Table Grid"/>
    <w:basedOn w:val="Tabel-Normal"/>
    <w:uiPriority w:val="59"/>
    <w:rsid w:val="00C7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4520">
      <w:bodyDiv w:val="1"/>
      <w:marLeft w:val="0"/>
      <w:marRight w:val="0"/>
      <w:marTop w:val="0"/>
      <w:marBottom w:val="0"/>
      <w:divBdr>
        <w:top w:val="none" w:sz="0" w:space="0" w:color="auto"/>
        <w:left w:val="none" w:sz="0" w:space="0" w:color="auto"/>
        <w:bottom w:val="none" w:sz="0" w:space="0" w:color="auto"/>
        <w:right w:val="none" w:sz="0" w:space="0" w:color="auto"/>
      </w:divBdr>
    </w:div>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ahllaw.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tb.dk/articles/databeskyttelse-og-sikkerhed/persondataforordni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tatilsynet.dk/fileadmin/user_upload/dokumenter/Vejledninger/Vejledning_sikkerhedsbru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2015-09-23T00:00:00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04D1979CE5E9943834B05C0CAB72079" ma:contentTypeVersion="9" ma:contentTypeDescription="Opret et nyt dokument." ma:contentTypeScope="" ma:versionID="827df7361a8c006f21fd1354fb91e62c">
  <xsd:schema xmlns:xsd="http://www.w3.org/2001/XMLSchema" xmlns:xs="http://www.w3.org/2001/XMLSchema" xmlns:p="http://schemas.microsoft.com/office/2006/metadata/properties" xmlns:ns2="eba9142f-c1ee-44b5-91db-58b22e0cc210" xmlns:ns3="e8e70c11-f106-4f36-9875-294aac1a05f2" targetNamespace="http://schemas.microsoft.com/office/2006/metadata/properties" ma:root="true" ma:fieldsID="fdabded6c8cca3bee97bb94d9fe86a01" ns2:_="" ns3:_="">
    <xsd:import namespace="eba9142f-c1ee-44b5-91db-58b22e0cc210"/>
    <xsd:import namespace="e8e70c11-f106-4f36-9875-294aac1a05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9142f-c1ee-44b5-91db-58b22e0cc21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LastSharedByUser" ma:index="10" nillable="true" ma:displayName="Sidst delt efter bruger" ma:description="" ma:internalName="LastSharedByUser" ma:readOnly="true">
      <xsd:simpleType>
        <xsd:restriction base="dms:Note">
          <xsd:maxLength value="255"/>
        </xsd:restriction>
      </xsd:simpleType>
    </xsd:element>
    <xsd:element name="LastSharedByTime" ma:index="11"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e70c11-f106-4f36-9875-294aac1a05f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9BD09-211C-4E30-AE10-8028B2F7E434}">
  <ds:schemaRefs>
    <ds:schemaRef ds:uri="http://schemas.openxmlformats.org/package/2006/metadata/core-properties"/>
    <ds:schemaRef ds:uri="http://purl.org/dc/terms/"/>
    <ds:schemaRef ds:uri="http://purl.org/dc/dcmitype/"/>
    <ds:schemaRef ds:uri="eba9142f-c1ee-44b5-91db-58b22e0cc210"/>
    <ds:schemaRef ds:uri="http://schemas.microsoft.com/office/2006/documentManagement/types"/>
    <ds:schemaRef ds:uri="http://purl.org/dc/elements/1.1/"/>
    <ds:schemaRef ds:uri="http://schemas.microsoft.com/office/2006/metadata/properties"/>
    <ds:schemaRef ds:uri="e8e70c11-f106-4f36-9875-294aac1a05f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90744CF-0F42-4A58-9AC5-571C04A86669}">
  <ds:schemaRefs>
    <ds:schemaRef ds:uri="http://schemas.microsoft.com/sharepoint/v3/contenttype/forms"/>
  </ds:schemaRefs>
</ds:datastoreItem>
</file>

<file path=customXml/itemProps4.xml><?xml version="1.0" encoding="utf-8"?>
<ds:datastoreItem xmlns:ds="http://schemas.openxmlformats.org/officeDocument/2006/customXml" ds:itemID="{C06B01AE-E5D6-46BD-8BCA-C27CDB9CCFBC}"/>
</file>

<file path=customXml/itemProps5.xml><?xml version="1.0" encoding="utf-8"?>
<ds:datastoreItem xmlns:ds="http://schemas.openxmlformats.org/officeDocument/2006/customXml" ds:itemID="{6DA9AD85-ADC3-4B69-AEB9-1DF394B4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8292</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 Fick Hansen</dc:creator>
  <cp:lastModifiedBy>Rune Fick Hansen</cp:lastModifiedBy>
  <cp:revision>2</cp:revision>
  <cp:lastPrinted>2016-10-05T13:40:00Z</cp:lastPrinted>
  <dcterms:created xsi:type="dcterms:W3CDTF">2018-03-20T07:56:00Z</dcterms:created>
  <dcterms:modified xsi:type="dcterms:W3CDTF">2018-03-20T07:56:00Z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0x010100A04D1979CE5E9943834B05C0CAB72079</vt:lpwstr>
  </property>
  <property fmtid="{D5CDD505-2E9C-101B-9397-08002B2CF9AE}" pid="3" name="sdDocumentDate">
    <vt:lpwstr>43178</vt:lpwstr>
  </property>
  <property fmtid="{D5CDD505-2E9C-101B-9397-08002B2CF9AE}" pid="4" name="SD_DocumentLanguage">
    <vt:lpwstr>da-DK</vt:lpwstr>
  </property>
  <property fmtid="{D5CDD505-2E9C-101B-9397-08002B2CF9AE}" pid="5" name="SD_IntegrationInfoAdded">
    <vt:bool>true</vt:bool>
  </property>
</Properties>
</file>